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5C5" w:rsidRPr="001235C5" w:rsidRDefault="007E3480" w:rsidP="001235C5">
      <w:pPr>
        <w:jc w:val="center"/>
        <w:rPr>
          <w:b/>
          <w:sz w:val="28"/>
          <w:lang w:val="en-GB"/>
        </w:rPr>
      </w:pPr>
      <w:r>
        <w:rPr>
          <w:b/>
          <w:sz w:val="28"/>
          <w:lang w:val="en-GB"/>
        </w:rPr>
        <w:t>P</w:t>
      </w:r>
      <w:r w:rsidR="00E20421">
        <w:rPr>
          <w:b/>
          <w:sz w:val="28"/>
          <w:lang w:val="en-GB"/>
        </w:rPr>
        <w:t>romoting</w:t>
      </w:r>
      <w:r>
        <w:rPr>
          <w:b/>
          <w:sz w:val="28"/>
          <w:lang w:val="en-GB"/>
        </w:rPr>
        <w:t xml:space="preserve"> mobility and </w:t>
      </w:r>
      <w:r w:rsidR="00E20421">
        <w:rPr>
          <w:b/>
          <w:sz w:val="28"/>
          <w:lang w:val="en-GB"/>
        </w:rPr>
        <w:t xml:space="preserve">employability </w:t>
      </w:r>
      <w:r>
        <w:rPr>
          <w:b/>
          <w:sz w:val="28"/>
          <w:lang w:val="en-GB"/>
        </w:rPr>
        <w:t>by harmonising engineering programmes accreditation criteria</w:t>
      </w:r>
    </w:p>
    <w:p w:rsidR="001235C5" w:rsidRDefault="001235C5" w:rsidP="00900D6F">
      <w:pPr>
        <w:jc w:val="both"/>
        <w:rPr>
          <w:b/>
          <w:sz w:val="32"/>
          <w:lang w:val="en-GB"/>
        </w:rPr>
      </w:pPr>
    </w:p>
    <w:p w:rsidR="00634445" w:rsidRPr="00F17AC4" w:rsidRDefault="001235C5" w:rsidP="003409C0">
      <w:pPr>
        <w:jc w:val="center"/>
        <w:rPr>
          <w:sz w:val="28"/>
          <w:lang w:val="en-GB"/>
        </w:rPr>
      </w:pPr>
      <w:r w:rsidRPr="00F17AC4">
        <w:rPr>
          <w:sz w:val="28"/>
          <w:lang w:val="en-GB"/>
        </w:rPr>
        <w:t xml:space="preserve">João </w:t>
      </w:r>
      <w:r w:rsidR="005D5571" w:rsidRPr="00F17AC4">
        <w:rPr>
          <w:sz w:val="28"/>
          <w:lang w:val="en-GB"/>
        </w:rPr>
        <w:t xml:space="preserve">Paulo </w:t>
      </w:r>
      <w:r w:rsidRPr="00F17AC4">
        <w:rPr>
          <w:sz w:val="28"/>
          <w:lang w:val="en-GB"/>
        </w:rPr>
        <w:t>Ponciano</w:t>
      </w:r>
    </w:p>
    <w:p w:rsidR="00F17AC4" w:rsidRDefault="001235C5" w:rsidP="003409C0">
      <w:pPr>
        <w:jc w:val="center"/>
        <w:rPr>
          <w:sz w:val="28"/>
          <w:lang w:val="en-GB"/>
        </w:rPr>
      </w:pPr>
      <w:r w:rsidRPr="00F17AC4">
        <w:rPr>
          <w:sz w:val="28"/>
          <w:lang w:val="en-GB"/>
        </w:rPr>
        <w:t>Manchester Metropolitan University</w:t>
      </w:r>
    </w:p>
    <w:p w:rsidR="00516051" w:rsidRPr="00443E3A" w:rsidRDefault="001235C5" w:rsidP="00443E3A">
      <w:pPr>
        <w:jc w:val="center"/>
        <w:rPr>
          <w:sz w:val="28"/>
          <w:lang w:val="en-GB"/>
        </w:rPr>
      </w:pPr>
      <w:r w:rsidRPr="00F17AC4">
        <w:rPr>
          <w:sz w:val="28"/>
          <w:lang w:val="en-GB"/>
        </w:rPr>
        <w:t xml:space="preserve"> J.Ponciano@mmu.ac.uk</w:t>
      </w:r>
    </w:p>
    <w:p w:rsidR="00443E3A" w:rsidRDefault="00443E3A" w:rsidP="00900D6F">
      <w:pPr>
        <w:jc w:val="both"/>
        <w:rPr>
          <w:b/>
          <w:lang w:val="en-GB"/>
        </w:rPr>
      </w:pPr>
    </w:p>
    <w:p w:rsidR="00516051" w:rsidRPr="00516051" w:rsidRDefault="00516051" w:rsidP="00900D6F">
      <w:pPr>
        <w:jc w:val="both"/>
        <w:rPr>
          <w:b/>
          <w:lang w:val="en-GB"/>
        </w:rPr>
      </w:pPr>
      <w:r w:rsidRPr="00516051">
        <w:rPr>
          <w:b/>
          <w:lang w:val="en-GB"/>
        </w:rPr>
        <w:t>Summary</w:t>
      </w:r>
    </w:p>
    <w:p w:rsidR="002E3DE4" w:rsidRDefault="002E3DE4" w:rsidP="007E3480">
      <w:pPr>
        <w:jc w:val="both"/>
        <w:rPr>
          <w:sz w:val="20"/>
          <w:szCs w:val="20"/>
          <w:lang w:val="en-GB"/>
        </w:rPr>
      </w:pPr>
    </w:p>
    <w:p w:rsidR="008D3D60" w:rsidRDefault="0044685B" w:rsidP="007E3480">
      <w:pPr>
        <w:jc w:val="both"/>
        <w:rPr>
          <w:sz w:val="20"/>
          <w:szCs w:val="20"/>
          <w:lang w:val="en-GB"/>
        </w:rPr>
      </w:pPr>
      <w:r w:rsidRPr="0044685B">
        <w:rPr>
          <w:sz w:val="20"/>
          <w:szCs w:val="20"/>
          <w:lang w:val="en-GB"/>
        </w:rPr>
        <w:t xml:space="preserve">The development of </w:t>
      </w:r>
      <w:r w:rsidR="008C2F6F" w:rsidRPr="0044685B">
        <w:rPr>
          <w:sz w:val="20"/>
          <w:szCs w:val="20"/>
          <w:lang w:val="en-GB"/>
        </w:rPr>
        <w:t>an</w:t>
      </w:r>
      <w:r w:rsidRPr="0044685B">
        <w:rPr>
          <w:sz w:val="20"/>
          <w:szCs w:val="20"/>
          <w:lang w:val="en-GB"/>
        </w:rPr>
        <w:t xml:space="preserve"> </w:t>
      </w:r>
      <w:r w:rsidR="008C2F6F">
        <w:rPr>
          <w:sz w:val="20"/>
          <w:szCs w:val="20"/>
          <w:lang w:val="en-GB"/>
        </w:rPr>
        <w:t>EU member state</w:t>
      </w:r>
      <w:r w:rsidRPr="0044685B">
        <w:rPr>
          <w:sz w:val="20"/>
          <w:szCs w:val="20"/>
          <w:lang w:val="en-GB"/>
        </w:rPr>
        <w:t xml:space="preserve"> educational tissue is paramount to the building of a world class educational system which must fuel sustainable economic development.</w:t>
      </w:r>
      <w:r>
        <w:rPr>
          <w:sz w:val="20"/>
          <w:szCs w:val="20"/>
          <w:lang w:val="en-GB"/>
        </w:rPr>
        <w:t xml:space="preserve"> </w:t>
      </w:r>
      <w:r w:rsidR="008C4F56">
        <w:rPr>
          <w:sz w:val="20"/>
          <w:szCs w:val="20"/>
          <w:lang w:val="en-GB"/>
        </w:rPr>
        <w:t xml:space="preserve">The contemporary reality of mobility and employability of engineering professionals across EU member states and overseas is one that is highly dependent on full participation of </w:t>
      </w:r>
      <w:r>
        <w:rPr>
          <w:sz w:val="20"/>
          <w:szCs w:val="20"/>
          <w:lang w:val="en-GB"/>
        </w:rPr>
        <w:t xml:space="preserve">higher </w:t>
      </w:r>
      <w:r w:rsidR="008C4F56">
        <w:rPr>
          <w:sz w:val="20"/>
          <w:szCs w:val="20"/>
          <w:lang w:val="en-GB"/>
        </w:rPr>
        <w:t xml:space="preserve">educational institutions in </w:t>
      </w:r>
      <w:r w:rsidR="008D3D60">
        <w:rPr>
          <w:sz w:val="20"/>
          <w:szCs w:val="20"/>
          <w:lang w:val="en-GB"/>
        </w:rPr>
        <w:t>aligning their</w:t>
      </w:r>
      <w:r w:rsidR="00732A1F">
        <w:rPr>
          <w:sz w:val="20"/>
          <w:szCs w:val="20"/>
          <w:lang w:val="en-GB"/>
        </w:rPr>
        <w:t xml:space="preserve"> programme</w:t>
      </w:r>
      <w:r w:rsidR="008C4F56">
        <w:rPr>
          <w:sz w:val="20"/>
          <w:szCs w:val="20"/>
          <w:lang w:val="en-GB"/>
        </w:rPr>
        <w:t xml:space="preserve"> outcomes to </w:t>
      </w:r>
      <w:r w:rsidR="008D3D60">
        <w:rPr>
          <w:sz w:val="20"/>
          <w:szCs w:val="20"/>
          <w:lang w:val="en-GB"/>
        </w:rPr>
        <w:t>an academic</w:t>
      </w:r>
      <w:r w:rsidR="008C4F56">
        <w:rPr>
          <w:sz w:val="20"/>
          <w:szCs w:val="20"/>
          <w:lang w:val="en-GB"/>
        </w:rPr>
        <w:t xml:space="preserve"> quality label that will offer employers a benchmark statement of the level of engineering education and professional experience </w:t>
      </w:r>
      <w:r w:rsidR="008D3D60">
        <w:rPr>
          <w:sz w:val="20"/>
          <w:szCs w:val="20"/>
          <w:lang w:val="en-GB"/>
        </w:rPr>
        <w:t xml:space="preserve">undertaken by first and second cycle engineering programmes and other forms of recognised engineering training and development of </w:t>
      </w:r>
      <w:r w:rsidR="00732A1F">
        <w:rPr>
          <w:sz w:val="20"/>
          <w:szCs w:val="20"/>
          <w:lang w:val="en-GB"/>
        </w:rPr>
        <w:t xml:space="preserve">candidates raising them to a fully qualified status of engineering practitioners. Moreover the </w:t>
      </w:r>
      <w:r w:rsidR="007319E7">
        <w:rPr>
          <w:sz w:val="20"/>
          <w:szCs w:val="20"/>
          <w:lang w:val="en-GB"/>
        </w:rPr>
        <w:t xml:space="preserve">benchmark statements must not only cater for first and second cycle engineering education but to expand and fully support </w:t>
      </w:r>
      <w:r w:rsidR="004A0613">
        <w:rPr>
          <w:sz w:val="20"/>
          <w:szCs w:val="20"/>
          <w:lang w:val="en-GB"/>
        </w:rPr>
        <w:t xml:space="preserve">doctoral qualifications and </w:t>
      </w:r>
      <w:r w:rsidR="007319E7">
        <w:rPr>
          <w:sz w:val="20"/>
          <w:szCs w:val="20"/>
          <w:lang w:val="en-GB"/>
        </w:rPr>
        <w:t xml:space="preserve">lifelong learning and be monitored by accrediting agencies through the establishment of appropriate professional engineering ranks which indicate to employers the </w:t>
      </w:r>
      <w:r w:rsidR="008C2F6F">
        <w:rPr>
          <w:sz w:val="20"/>
          <w:szCs w:val="20"/>
          <w:lang w:val="en-GB"/>
        </w:rPr>
        <w:t xml:space="preserve">commitment of the </w:t>
      </w:r>
      <w:r w:rsidR="009124DF">
        <w:rPr>
          <w:sz w:val="20"/>
          <w:szCs w:val="20"/>
          <w:lang w:val="en-GB"/>
        </w:rPr>
        <w:t xml:space="preserve">individual </w:t>
      </w:r>
      <w:r w:rsidR="007319E7">
        <w:rPr>
          <w:sz w:val="20"/>
          <w:szCs w:val="20"/>
          <w:lang w:val="en-GB"/>
        </w:rPr>
        <w:t xml:space="preserve">to engineering </w:t>
      </w:r>
      <w:r w:rsidR="009124DF">
        <w:rPr>
          <w:sz w:val="20"/>
          <w:szCs w:val="20"/>
          <w:lang w:val="en-GB"/>
        </w:rPr>
        <w:t xml:space="preserve">career </w:t>
      </w:r>
      <w:r w:rsidR="007319E7">
        <w:rPr>
          <w:sz w:val="20"/>
          <w:szCs w:val="20"/>
          <w:lang w:val="en-GB"/>
        </w:rPr>
        <w:t>development</w:t>
      </w:r>
      <w:r w:rsidR="009124DF">
        <w:rPr>
          <w:sz w:val="20"/>
          <w:szCs w:val="20"/>
          <w:lang w:val="en-GB"/>
        </w:rPr>
        <w:t>.</w:t>
      </w:r>
      <w:r w:rsidR="007319E7">
        <w:rPr>
          <w:sz w:val="20"/>
          <w:szCs w:val="20"/>
          <w:lang w:val="en-GB"/>
        </w:rPr>
        <w:t xml:space="preserve"> </w:t>
      </w:r>
    </w:p>
    <w:p w:rsidR="00241B99" w:rsidRDefault="002E3DE4" w:rsidP="007E3480">
      <w:pPr>
        <w:jc w:val="both"/>
        <w:rPr>
          <w:sz w:val="20"/>
          <w:szCs w:val="20"/>
          <w:lang w:val="en-GB"/>
        </w:rPr>
      </w:pPr>
      <w:r>
        <w:rPr>
          <w:sz w:val="20"/>
          <w:szCs w:val="20"/>
          <w:lang w:val="en-GB"/>
        </w:rPr>
        <w:t>This paper presents a</w:t>
      </w:r>
      <w:r w:rsidR="007E3480">
        <w:rPr>
          <w:sz w:val="20"/>
          <w:szCs w:val="20"/>
          <w:lang w:val="en-GB"/>
        </w:rPr>
        <w:t xml:space="preserve"> </w:t>
      </w:r>
      <w:r w:rsidR="007E3480" w:rsidRPr="006D34DF">
        <w:rPr>
          <w:sz w:val="20"/>
          <w:szCs w:val="20"/>
          <w:lang w:val="en-GB"/>
        </w:rPr>
        <w:t xml:space="preserve">critical reflection of </w:t>
      </w:r>
      <w:r w:rsidR="007640C9" w:rsidRPr="006D34DF">
        <w:rPr>
          <w:sz w:val="20"/>
          <w:szCs w:val="20"/>
          <w:lang w:val="en-GB"/>
        </w:rPr>
        <w:t>mobility and employability</w:t>
      </w:r>
      <w:r w:rsidR="007E3480" w:rsidRPr="006D34DF">
        <w:rPr>
          <w:sz w:val="20"/>
          <w:szCs w:val="20"/>
          <w:lang w:val="en-GB"/>
        </w:rPr>
        <w:t xml:space="preserve"> </w:t>
      </w:r>
      <w:r w:rsidR="007640C9" w:rsidRPr="006D34DF">
        <w:rPr>
          <w:sz w:val="20"/>
          <w:szCs w:val="20"/>
          <w:lang w:val="en-GB"/>
        </w:rPr>
        <w:t>in</w:t>
      </w:r>
      <w:r w:rsidR="00F7669A" w:rsidRPr="006D34DF">
        <w:rPr>
          <w:sz w:val="20"/>
          <w:szCs w:val="20"/>
          <w:lang w:val="en-GB"/>
        </w:rPr>
        <w:t xml:space="preserve"> the</w:t>
      </w:r>
      <w:r w:rsidR="007E3480" w:rsidRPr="006D34DF">
        <w:rPr>
          <w:sz w:val="20"/>
          <w:szCs w:val="20"/>
          <w:lang w:val="en-GB"/>
        </w:rPr>
        <w:t xml:space="preserve"> context of engineering programmes accreditation </w:t>
      </w:r>
      <w:r w:rsidR="007640C9" w:rsidRPr="006D34DF">
        <w:rPr>
          <w:sz w:val="20"/>
          <w:szCs w:val="20"/>
          <w:lang w:val="en-GB"/>
        </w:rPr>
        <w:t>focusing on existing standards and auditing experiences</w:t>
      </w:r>
      <w:r w:rsidR="007640C9">
        <w:rPr>
          <w:sz w:val="20"/>
          <w:szCs w:val="20"/>
          <w:lang w:val="en-GB"/>
        </w:rPr>
        <w:t xml:space="preserve"> </w:t>
      </w:r>
      <w:r w:rsidR="00C66A07">
        <w:rPr>
          <w:sz w:val="20"/>
          <w:szCs w:val="20"/>
          <w:lang w:val="en-GB"/>
        </w:rPr>
        <w:t>and</w:t>
      </w:r>
      <w:r w:rsidR="007640C9">
        <w:rPr>
          <w:sz w:val="20"/>
          <w:szCs w:val="20"/>
          <w:lang w:val="en-GB"/>
        </w:rPr>
        <w:t xml:space="preserve"> correlating</w:t>
      </w:r>
      <w:r>
        <w:rPr>
          <w:sz w:val="20"/>
          <w:szCs w:val="20"/>
          <w:lang w:val="en-GB"/>
        </w:rPr>
        <w:t xml:space="preserve"> criteria of</w:t>
      </w:r>
      <w:r w:rsidR="007640C9">
        <w:rPr>
          <w:sz w:val="20"/>
          <w:szCs w:val="20"/>
          <w:lang w:val="en-GB"/>
        </w:rPr>
        <w:t xml:space="preserve"> the UK Standards for professional Engineering Competence (UKSPEC) </w:t>
      </w:r>
      <w:r w:rsidR="00241B99">
        <w:rPr>
          <w:sz w:val="20"/>
          <w:szCs w:val="20"/>
          <w:lang w:val="en-GB"/>
        </w:rPr>
        <w:t>and</w:t>
      </w:r>
      <w:r>
        <w:rPr>
          <w:sz w:val="20"/>
          <w:szCs w:val="20"/>
          <w:lang w:val="en-GB"/>
        </w:rPr>
        <w:t xml:space="preserve"> the European Accreditation of Engineering Programmes (EUR-ACE)</w:t>
      </w:r>
      <w:r w:rsidR="00C66A07">
        <w:rPr>
          <w:sz w:val="20"/>
          <w:szCs w:val="20"/>
          <w:lang w:val="en-GB"/>
        </w:rPr>
        <w:t>.</w:t>
      </w:r>
    </w:p>
    <w:p w:rsidR="007E3480" w:rsidRDefault="007E3480" w:rsidP="00900D6F">
      <w:pPr>
        <w:jc w:val="both"/>
        <w:rPr>
          <w:sz w:val="20"/>
          <w:szCs w:val="20"/>
          <w:lang w:val="en-GB"/>
        </w:rPr>
      </w:pPr>
    </w:p>
    <w:p w:rsidR="00516051" w:rsidRPr="005D5571" w:rsidRDefault="00516051" w:rsidP="00900D6F">
      <w:pPr>
        <w:jc w:val="both"/>
        <w:rPr>
          <w:b/>
          <w:lang w:val="en-GB"/>
        </w:rPr>
      </w:pPr>
    </w:p>
    <w:p w:rsidR="00516051" w:rsidRPr="000B6DC4" w:rsidRDefault="00516051" w:rsidP="00516051">
      <w:pPr>
        <w:numPr>
          <w:ilvl w:val="0"/>
          <w:numId w:val="3"/>
        </w:numPr>
        <w:jc w:val="both"/>
        <w:rPr>
          <w:b/>
          <w:lang w:val="en-GB"/>
        </w:rPr>
      </w:pPr>
      <w:r w:rsidRPr="000B6DC4">
        <w:rPr>
          <w:b/>
          <w:lang w:val="en-GB"/>
        </w:rPr>
        <w:t>Introduction</w:t>
      </w:r>
    </w:p>
    <w:p w:rsidR="00516051" w:rsidRPr="00516051" w:rsidRDefault="00516051" w:rsidP="00516051">
      <w:pPr>
        <w:jc w:val="both"/>
        <w:rPr>
          <w:lang w:val="en-GB"/>
        </w:rPr>
      </w:pPr>
    </w:p>
    <w:p w:rsidR="00516051" w:rsidRPr="003E27C1" w:rsidRDefault="00400E7F" w:rsidP="00516051">
      <w:pPr>
        <w:jc w:val="both"/>
        <w:rPr>
          <w:lang w:val="en-GB"/>
        </w:rPr>
      </w:pPr>
      <w:r w:rsidRPr="003E27C1">
        <w:rPr>
          <w:lang w:val="en-GB"/>
        </w:rPr>
        <w:t>Europe</w:t>
      </w:r>
      <w:r w:rsidR="00F7669A" w:rsidRPr="003E27C1">
        <w:rPr>
          <w:lang w:val="en-GB"/>
        </w:rPr>
        <w:t>’s commitment through the Bologna declaration of 1999 was in its days the furth</w:t>
      </w:r>
      <w:r w:rsidR="004123C5" w:rsidRPr="003E27C1">
        <w:rPr>
          <w:lang w:val="en-GB"/>
        </w:rPr>
        <w:t>e</w:t>
      </w:r>
      <w:r w:rsidR="00F7669A" w:rsidRPr="003E27C1">
        <w:rPr>
          <w:lang w:val="en-GB"/>
        </w:rPr>
        <w:t>s</w:t>
      </w:r>
      <w:r w:rsidR="004123C5" w:rsidRPr="003E27C1">
        <w:rPr>
          <w:lang w:val="en-GB"/>
        </w:rPr>
        <w:t>t</w:t>
      </w:r>
      <w:r w:rsidR="00F7669A" w:rsidRPr="003E27C1">
        <w:rPr>
          <w:lang w:val="en-GB"/>
        </w:rPr>
        <w:t xml:space="preserve"> Educational Systems could hope to </w:t>
      </w:r>
      <w:r w:rsidR="00337160" w:rsidRPr="003E27C1">
        <w:rPr>
          <w:lang w:val="en-GB"/>
        </w:rPr>
        <w:t xml:space="preserve">higher education </w:t>
      </w:r>
      <w:r w:rsidR="00F7669A" w:rsidRPr="003E27C1">
        <w:rPr>
          <w:lang w:val="en-GB"/>
        </w:rPr>
        <w:t xml:space="preserve">output harmonisation and criteria alignment. </w:t>
      </w:r>
      <w:r w:rsidR="00C66A07" w:rsidRPr="003E27C1">
        <w:rPr>
          <w:lang w:val="en-GB"/>
        </w:rPr>
        <w:t xml:space="preserve"> In its action programme a deadline of 201</w:t>
      </w:r>
      <w:r w:rsidR="00E11E87" w:rsidRPr="003E27C1">
        <w:rPr>
          <w:lang w:val="en-GB"/>
        </w:rPr>
        <w:t>0 defined a European s</w:t>
      </w:r>
      <w:r w:rsidR="000E7A31" w:rsidRPr="003E27C1">
        <w:rPr>
          <w:lang w:val="en-GB"/>
        </w:rPr>
        <w:t>pace for H</w:t>
      </w:r>
      <w:r w:rsidR="00C66A07" w:rsidRPr="003E27C1">
        <w:rPr>
          <w:lang w:val="en-GB"/>
        </w:rPr>
        <w:t xml:space="preserve">igher Education where the employability and mobility of citizens would increase the international competitiveness of Europe. </w:t>
      </w:r>
    </w:p>
    <w:p w:rsidR="00741617" w:rsidRPr="003E27C1" w:rsidRDefault="00E11E87" w:rsidP="00516051">
      <w:pPr>
        <w:jc w:val="both"/>
        <w:rPr>
          <w:lang w:val="en-GB"/>
        </w:rPr>
      </w:pPr>
      <w:r w:rsidRPr="003E27C1">
        <w:rPr>
          <w:lang w:val="en-GB"/>
        </w:rPr>
        <w:t xml:space="preserve">The year of </w:t>
      </w:r>
      <w:r w:rsidR="00C66A07" w:rsidRPr="003E27C1">
        <w:rPr>
          <w:lang w:val="en-GB"/>
        </w:rPr>
        <w:t>2010 has come and gone and since then</w:t>
      </w:r>
      <w:r w:rsidR="00337160" w:rsidRPr="003E27C1">
        <w:rPr>
          <w:lang w:val="en-GB"/>
        </w:rPr>
        <w:t>,</w:t>
      </w:r>
      <w:r w:rsidR="00C66A07" w:rsidRPr="003E27C1">
        <w:rPr>
          <w:lang w:val="en-GB"/>
        </w:rPr>
        <w:t xml:space="preserve"> although </w:t>
      </w:r>
      <w:r w:rsidR="00741617" w:rsidRPr="003E27C1">
        <w:rPr>
          <w:lang w:val="en-GB"/>
        </w:rPr>
        <w:t>most of its</w:t>
      </w:r>
      <w:r w:rsidR="00C66A07" w:rsidRPr="003E27C1">
        <w:rPr>
          <w:lang w:val="en-GB"/>
        </w:rPr>
        <w:t xml:space="preserve"> framework has been </w:t>
      </w:r>
      <w:r w:rsidR="001F1DBA" w:rsidRPr="003E27C1">
        <w:rPr>
          <w:lang w:val="en-GB"/>
        </w:rPr>
        <w:t xml:space="preserve">successfully </w:t>
      </w:r>
      <w:r w:rsidR="00C66A07" w:rsidRPr="003E27C1">
        <w:rPr>
          <w:lang w:val="en-GB"/>
        </w:rPr>
        <w:t>deployed</w:t>
      </w:r>
      <w:r w:rsidR="00337160" w:rsidRPr="003E27C1">
        <w:rPr>
          <w:lang w:val="en-GB"/>
        </w:rPr>
        <w:t>,</w:t>
      </w:r>
      <w:r w:rsidR="00741617" w:rsidRPr="003E27C1">
        <w:rPr>
          <w:lang w:val="en-GB"/>
        </w:rPr>
        <w:t xml:space="preserve"> the European </w:t>
      </w:r>
      <w:r w:rsidR="002D3729" w:rsidRPr="003E27C1">
        <w:rPr>
          <w:lang w:val="en-GB"/>
        </w:rPr>
        <w:t>dimension</w:t>
      </w:r>
      <w:r w:rsidR="00741617" w:rsidRPr="003E27C1">
        <w:rPr>
          <w:lang w:val="en-GB"/>
        </w:rPr>
        <w:t xml:space="preserve"> in quality assurance has not been fully adopted to the extent where social benefit can be </w:t>
      </w:r>
      <w:r w:rsidR="00AB066F" w:rsidRPr="003E27C1">
        <w:rPr>
          <w:lang w:val="en-GB"/>
        </w:rPr>
        <w:t>easily identified</w:t>
      </w:r>
      <w:r w:rsidR="00741617" w:rsidRPr="003E27C1">
        <w:rPr>
          <w:lang w:val="en-GB"/>
        </w:rPr>
        <w:t xml:space="preserve"> on the ground. </w:t>
      </w:r>
      <w:r w:rsidR="00337160" w:rsidRPr="003E27C1">
        <w:rPr>
          <w:lang w:val="en-GB"/>
        </w:rPr>
        <w:t>Given that this was in itself one of the objectiv</w:t>
      </w:r>
      <w:r w:rsidR="004A0613" w:rsidRPr="003E27C1">
        <w:rPr>
          <w:lang w:val="en-GB"/>
        </w:rPr>
        <w:t>es of the Bologna declaration is</w:t>
      </w:r>
      <w:r w:rsidR="00337160" w:rsidRPr="003E27C1">
        <w:rPr>
          <w:lang w:val="en-GB"/>
        </w:rPr>
        <w:t xml:space="preserve"> important to reflect where Europe</w:t>
      </w:r>
      <w:r w:rsidR="000E7A31" w:rsidRPr="003E27C1">
        <w:rPr>
          <w:lang w:val="en-GB"/>
        </w:rPr>
        <w:t xml:space="preserve"> is and what more can be done</w:t>
      </w:r>
      <w:r w:rsidR="00337160" w:rsidRPr="003E27C1">
        <w:rPr>
          <w:lang w:val="en-GB"/>
        </w:rPr>
        <w:t xml:space="preserve">. </w:t>
      </w:r>
    </w:p>
    <w:p w:rsidR="00A258CC" w:rsidRDefault="00741617" w:rsidP="00516051">
      <w:pPr>
        <w:jc w:val="both"/>
        <w:rPr>
          <w:lang w:val="en-GB"/>
        </w:rPr>
      </w:pPr>
      <w:r w:rsidRPr="003E27C1">
        <w:rPr>
          <w:lang w:val="en-GB"/>
        </w:rPr>
        <w:t>This so important stimulus</w:t>
      </w:r>
      <w:r w:rsidR="00AB066F" w:rsidRPr="003E27C1">
        <w:rPr>
          <w:lang w:val="en-GB"/>
        </w:rPr>
        <w:t>,</w:t>
      </w:r>
      <w:r w:rsidRPr="003E27C1">
        <w:rPr>
          <w:lang w:val="en-GB"/>
        </w:rPr>
        <w:t xml:space="preserve"> which signal</w:t>
      </w:r>
      <w:r w:rsidR="00F13601" w:rsidRPr="003E27C1">
        <w:rPr>
          <w:lang w:val="en-GB"/>
        </w:rPr>
        <w:t>s</w:t>
      </w:r>
      <w:r>
        <w:rPr>
          <w:lang w:val="en-GB"/>
        </w:rPr>
        <w:t xml:space="preserve"> to employers the degree of comparability </w:t>
      </w:r>
      <w:r w:rsidR="002D3729">
        <w:rPr>
          <w:lang w:val="en-GB"/>
        </w:rPr>
        <w:t xml:space="preserve">in higher education systems </w:t>
      </w:r>
      <w:r>
        <w:rPr>
          <w:lang w:val="en-GB"/>
        </w:rPr>
        <w:t xml:space="preserve">in hiring citizens from the signatory </w:t>
      </w:r>
      <w:r w:rsidR="00095371">
        <w:rPr>
          <w:lang w:val="en-GB"/>
        </w:rPr>
        <w:t>states,</w:t>
      </w:r>
      <w:r>
        <w:rPr>
          <w:lang w:val="en-GB"/>
        </w:rPr>
        <w:t xml:space="preserve"> </w:t>
      </w:r>
      <w:r w:rsidR="00A258CC">
        <w:rPr>
          <w:lang w:val="en-GB"/>
        </w:rPr>
        <w:t xml:space="preserve">can only be achieved if the take up on quality labels which reflect equitable criteria and methods is widespread. </w:t>
      </w:r>
      <w:r w:rsidR="00095371">
        <w:rPr>
          <w:lang w:val="en-GB"/>
        </w:rPr>
        <w:t>Social awareness is however poor when compared to the scale and the endeavours of the project.</w:t>
      </w:r>
    </w:p>
    <w:p w:rsidR="00804396" w:rsidRDefault="00337160" w:rsidP="00516051">
      <w:pPr>
        <w:jc w:val="both"/>
        <w:rPr>
          <w:lang w:val="en-GB"/>
        </w:rPr>
      </w:pPr>
      <w:r>
        <w:rPr>
          <w:lang w:val="en-GB"/>
        </w:rPr>
        <w:t xml:space="preserve">To date, whilst </w:t>
      </w:r>
      <w:r w:rsidR="00A258CC">
        <w:rPr>
          <w:lang w:val="en-GB"/>
        </w:rPr>
        <w:t xml:space="preserve">agencies </w:t>
      </w:r>
      <w:r w:rsidR="000E7A31">
        <w:rPr>
          <w:lang w:val="en-GB"/>
        </w:rPr>
        <w:t>of the European Network for Accreditation of Engineering Education exi</w:t>
      </w:r>
      <w:r w:rsidR="00B579EF">
        <w:rPr>
          <w:lang w:val="en-GB"/>
        </w:rPr>
        <w:t>s</w:t>
      </w:r>
      <w:r w:rsidR="000E7A31">
        <w:rPr>
          <w:lang w:val="en-GB"/>
        </w:rPr>
        <w:t xml:space="preserve">t, the number of participating establishments </w:t>
      </w:r>
      <w:r w:rsidR="00095371">
        <w:rPr>
          <w:lang w:val="en-GB"/>
        </w:rPr>
        <w:t>across</w:t>
      </w:r>
      <w:r w:rsidR="000E7A31">
        <w:rPr>
          <w:lang w:val="en-GB"/>
        </w:rPr>
        <w:t xml:space="preserve"> the signatory states is disappointing</w:t>
      </w:r>
      <w:r w:rsidR="00E11E87">
        <w:rPr>
          <w:lang w:val="en-GB"/>
        </w:rPr>
        <w:t xml:space="preserve"> considering </w:t>
      </w:r>
      <w:r w:rsidR="00095371">
        <w:rPr>
          <w:lang w:val="en-GB"/>
        </w:rPr>
        <w:t xml:space="preserve">the numbers </w:t>
      </w:r>
      <w:r w:rsidR="00630C5B">
        <w:rPr>
          <w:lang w:val="en-GB"/>
        </w:rPr>
        <w:t>of H</w:t>
      </w:r>
      <w:r w:rsidR="00804396">
        <w:rPr>
          <w:lang w:val="en-GB"/>
        </w:rPr>
        <w:t>igher</w:t>
      </w:r>
      <w:r w:rsidR="00095371">
        <w:rPr>
          <w:lang w:val="en-GB"/>
        </w:rPr>
        <w:t xml:space="preserve"> Education first and second cycle engineering </w:t>
      </w:r>
      <w:r w:rsidR="00804396">
        <w:rPr>
          <w:lang w:val="en-GB"/>
        </w:rPr>
        <w:t>programmes with the EUR-ACE label</w:t>
      </w:r>
      <w:r w:rsidR="007C2731">
        <w:rPr>
          <w:lang w:val="en-GB"/>
        </w:rPr>
        <w:t>.</w:t>
      </w:r>
    </w:p>
    <w:p w:rsidR="00E11E87" w:rsidRDefault="00E11E87" w:rsidP="00516051">
      <w:pPr>
        <w:jc w:val="both"/>
        <w:rPr>
          <w:lang w:val="en-GB"/>
        </w:rPr>
      </w:pPr>
      <w:r>
        <w:rPr>
          <w:lang w:val="en-GB"/>
        </w:rPr>
        <w:t>The levels of public awareness have not been significant to have the Bologna objectives clearly i</w:t>
      </w:r>
      <w:r w:rsidR="00630C5B">
        <w:rPr>
          <w:lang w:val="en-GB"/>
        </w:rPr>
        <w:t>dentified with</w:t>
      </w:r>
      <w:r w:rsidR="002B59FC">
        <w:rPr>
          <w:lang w:val="en-GB"/>
        </w:rPr>
        <w:t xml:space="preserve"> Educational, Industrial and</w:t>
      </w:r>
      <w:r>
        <w:rPr>
          <w:lang w:val="en-GB"/>
        </w:rPr>
        <w:t xml:space="preserve"> </w:t>
      </w:r>
      <w:r w:rsidR="002B59FC">
        <w:rPr>
          <w:lang w:val="en-GB"/>
        </w:rPr>
        <w:t>Commercial</w:t>
      </w:r>
      <w:r>
        <w:rPr>
          <w:lang w:val="en-GB"/>
        </w:rPr>
        <w:t xml:space="preserve"> stakeholders.</w:t>
      </w:r>
      <w:r w:rsidR="002B59FC">
        <w:rPr>
          <w:lang w:val="en-GB"/>
        </w:rPr>
        <w:t xml:space="preserve"> These stakeholders include, Higher </w:t>
      </w:r>
      <w:r w:rsidR="007D1602">
        <w:rPr>
          <w:lang w:val="en-GB"/>
        </w:rPr>
        <w:t>Education</w:t>
      </w:r>
      <w:r w:rsidR="002B59FC">
        <w:rPr>
          <w:lang w:val="en-GB"/>
        </w:rPr>
        <w:t xml:space="preserve"> Institutions or those conferring </w:t>
      </w:r>
      <w:r w:rsidR="007D1602">
        <w:rPr>
          <w:lang w:val="en-GB"/>
        </w:rPr>
        <w:t>awards</w:t>
      </w:r>
      <w:r w:rsidR="002B59FC">
        <w:rPr>
          <w:lang w:val="en-GB"/>
        </w:rPr>
        <w:t xml:space="preserve"> matching first and second cycle qualifications, employers, both large corporate entities as well as </w:t>
      </w:r>
      <w:r w:rsidR="002B59FC">
        <w:rPr>
          <w:lang w:val="en-GB"/>
        </w:rPr>
        <w:lastRenderedPageBreak/>
        <w:t>small and mediu</w:t>
      </w:r>
      <w:r w:rsidR="007D1602">
        <w:rPr>
          <w:lang w:val="en-GB"/>
        </w:rPr>
        <w:t xml:space="preserve">m </w:t>
      </w:r>
      <w:r w:rsidR="002B59FC">
        <w:rPr>
          <w:lang w:val="en-GB"/>
        </w:rPr>
        <w:t xml:space="preserve">enterprises and those who work very thoroughly on recruitment </w:t>
      </w:r>
      <w:r w:rsidR="007D1602">
        <w:rPr>
          <w:lang w:val="en-GB"/>
        </w:rPr>
        <w:t>strategies</w:t>
      </w:r>
      <w:r w:rsidR="002B59FC">
        <w:rPr>
          <w:lang w:val="en-GB"/>
        </w:rPr>
        <w:t xml:space="preserve"> and pay close attention to the </w:t>
      </w:r>
      <w:r w:rsidR="007D1602">
        <w:rPr>
          <w:lang w:val="en-GB"/>
        </w:rPr>
        <w:t xml:space="preserve">educational quality standards and </w:t>
      </w:r>
      <w:r w:rsidR="002B59FC">
        <w:rPr>
          <w:lang w:val="en-GB"/>
        </w:rPr>
        <w:t>labels</w:t>
      </w:r>
      <w:r w:rsidR="004A0613">
        <w:rPr>
          <w:lang w:val="en-GB"/>
        </w:rPr>
        <w:t xml:space="preserve"> to recruit the best candidates for a job</w:t>
      </w:r>
      <w:r w:rsidR="007D1602">
        <w:rPr>
          <w:lang w:val="en-GB"/>
        </w:rPr>
        <w:t>.</w:t>
      </w:r>
      <w:r w:rsidR="002B59FC">
        <w:rPr>
          <w:lang w:val="en-GB"/>
        </w:rPr>
        <w:t xml:space="preserve"> </w:t>
      </w:r>
    </w:p>
    <w:p w:rsidR="00630C5B" w:rsidRDefault="00630C5B" w:rsidP="00516051">
      <w:pPr>
        <w:jc w:val="both"/>
        <w:rPr>
          <w:lang w:val="en-GB"/>
        </w:rPr>
      </w:pPr>
      <w:r>
        <w:rPr>
          <w:lang w:val="en-GB"/>
        </w:rPr>
        <w:t xml:space="preserve">Presenting considerations for </w:t>
      </w:r>
      <w:r w:rsidR="00262524">
        <w:rPr>
          <w:lang w:val="en-GB"/>
        </w:rPr>
        <w:t>one of the Bologna signatories</w:t>
      </w:r>
      <w:r>
        <w:rPr>
          <w:lang w:val="en-GB"/>
        </w:rPr>
        <w:t>, t</w:t>
      </w:r>
      <w:r w:rsidR="000E7A31">
        <w:rPr>
          <w:lang w:val="en-GB"/>
        </w:rPr>
        <w:t>he U</w:t>
      </w:r>
      <w:r>
        <w:rPr>
          <w:lang w:val="en-GB"/>
        </w:rPr>
        <w:t xml:space="preserve">nited </w:t>
      </w:r>
      <w:r w:rsidR="000E7A31">
        <w:rPr>
          <w:lang w:val="en-GB"/>
        </w:rPr>
        <w:t>K</w:t>
      </w:r>
      <w:r>
        <w:rPr>
          <w:lang w:val="en-GB"/>
        </w:rPr>
        <w:t>ingdom</w:t>
      </w:r>
      <w:r w:rsidR="000E7A31">
        <w:rPr>
          <w:lang w:val="en-GB"/>
        </w:rPr>
        <w:t xml:space="preserve"> has a long history of Higher Education quality </w:t>
      </w:r>
      <w:r>
        <w:rPr>
          <w:lang w:val="en-GB"/>
        </w:rPr>
        <w:t xml:space="preserve">standards and </w:t>
      </w:r>
      <w:r w:rsidR="000E7A31">
        <w:rPr>
          <w:lang w:val="en-GB"/>
        </w:rPr>
        <w:t xml:space="preserve">systems with dedicated agencies </w:t>
      </w:r>
      <w:r w:rsidR="007C2731">
        <w:rPr>
          <w:lang w:val="en-GB"/>
        </w:rPr>
        <w:t xml:space="preserve">like the Quality Assurance Agency </w:t>
      </w:r>
      <w:r>
        <w:rPr>
          <w:lang w:val="en-GB"/>
        </w:rPr>
        <w:t xml:space="preserve"> which </w:t>
      </w:r>
      <w:r>
        <w:t>protects the public interest by checking how universities and colleges maintain their academic standards and quality, and this work is supported by a range of guidance developed in cooperation with the higher education sector, principal among which is the UK Quality Code for Higher Education.</w:t>
      </w:r>
    </w:p>
    <w:p w:rsidR="000E7A31" w:rsidRDefault="00B2335A" w:rsidP="00516051">
      <w:pPr>
        <w:jc w:val="both"/>
        <w:rPr>
          <w:lang w:val="en-GB"/>
        </w:rPr>
      </w:pPr>
      <w:r>
        <w:rPr>
          <w:lang w:val="en-GB"/>
        </w:rPr>
        <w:t xml:space="preserve">The Engineering Council UK via its 36 designated engineering </w:t>
      </w:r>
      <w:r w:rsidR="00C92D29">
        <w:rPr>
          <w:lang w:val="en-GB"/>
        </w:rPr>
        <w:t>institutions</w:t>
      </w:r>
      <w:r>
        <w:rPr>
          <w:lang w:val="en-GB"/>
        </w:rPr>
        <w:t xml:space="preserve"> has since the 1960’s maintained a register of professional engineers and technicians</w:t>
      </w:r>
      <w:r w:rsidR="00C92D29">
        <w:rPr>
          <w:lang w:val="en-GB"/>
        </w:rPr>
        <w:t xml:space="preserve">. </w:t>
      </w:r>
      <w:r w:rsidR="005D422F">
        <w:rPr>
          <w:lang w:val="en-GB"/>
        </w:rPr>
        <w:t xml:space="preserve">Through UK-SPEC engineering </w:t>
      </w:r>
      <w:r w:rsidR="005D422F">
        <w:t>describe</w:t>
      </w:r>
      <w:r w:rsidR="00F13601">
        <w:t>s</w:t>
      </w:r>
      <w:r w:rsidR="005D422F">
        <w:t xml:space="preserve"> </w:t>
      </w:r>
      <w:r w:rsidR="00F13601">
        <w:t xml:space="preserve">the </w:t>
      </w:r>
      <w:r w:rsidR="005D422F">
        <w:t>value of professional membership, career development and lifelong learning with clear specifications of the levels for attainment of the different professional engineering and technology categories.</w:t>
      </w:r>
    </w:p>
    <w:p w:rsidR="007D5392" w:rsidRDefault="007D5392" w:rsidP="00516051">
      <w:pPr>
        <w:jc w:val="both"/>
        <w:rPr>
          <w:lang w:val="en-GB"/>
        </w:rPr>
      </w:pPr>
      <w:r>
        <w:rPr>
          <w:lang w:val="en-GB"/>
        </w:rPr>
        <w:t xml:space="preserve">The current </w:t>
      </w:r>
      <w:r w:rsidR="005D422F">
        <w:rPr>
          <w:lang w:val="en-GB"/>
        </w:rPr>
        <w:t xml:space="preserve">European </w:t>
      </w:r>
      <w:r>
        <w:rPr>
          <w:lang w:val="en-GB"/>
        </w:rPr>
        <w:t>portrait of engineering accreditation is a mix of national practices and in this article we explore the key influences that quality labels such as EUR-ACE and UKSPEC can have on building a world class educational system for Europe and how this can foster mobility and employability</w:t>
      </w:r>
      <w:r w:rsidR="005D422F">
        <w:rPr>
          <w:lang w:val="en-GB"/>
        </w:rPr>
        <w:t>.</w:t>
      </w:r>
      <w:r>
        <w:rPr>
          <w:lang w:val="en-GB"/>
        </w:rPr>
        <w:t xml:space="preserve">  </w:t>
      </w:r>
    </w:p>
    <w:p w:rsidR="007D5392" w:rsidRDefault="007D5392" w:rsidP="00516051">
      <w:pPr>
        <w:jc w:val="both"/>
        <w:rPr>
          <w:lang w:val="en-GB"/>
        </w:rPr>
      </w:pPr>
    </w:p>
    <w:p w:rsidR="00634445" w:rsidRPr="00516051" w:rsidRDefault="00634445" w:rsidP="00516051">
      <w:pPr>
        <w:jc w:val="both"/>
        <w:rPr>
          <w:lang w:val="en-GB"/>
        </w:rPr>
      </w:pPr>
    </w:p>
    <w:p w:rsidR="003409C0" w:rsidRPr="00516051" w:rsidRDefault="006573DE" w:rsidP="00516051">
      <w:pPr>
        <w:numPr>
          <w:ilvl w:val="0"/>
          <w:numId w:val="3"/>
        </w:numPr>
        <w:jc w:val="both"/>
        <w:rPr>
          <w:b/>
          <w:lang w:val="en-GB"/>
        </w:rPr>
      </w:pPr>
      <w:r>
        <w:rPr>
          <w:b/>
          <w:lang w:val="en-GB"/>
        </w:rPr>
        <w:t>World Class Education</w:t>
      </w:r>
      <w:r w:rsidR="00516051">
        <w:rPr>
          <w:b/>
          <w:lang w:val="en-GB"/>
        </w:rPr>
        <w:t xml:space="preserve"> </w:t>
      </w:r>
      <w:r w:rsidR="0089138B">
        <w:rPr>
          <w:b/>
          <w:lang w:val="en-GB"/>
        </w:rPr>
        <w:t>for Europe</w:t>
      </w:r>
    </w:p>
    <w:p w:rsidR="00516051" w:rsidRPr="00516051" w:rsidRDefault="00516051" w:rsidP="00900D6F">
      <w:pPr>
        <w:jc w:val="both"/>
        <w:rPr>
          <w:lang w:val="en-GB"/>
        </w:rPr>
      </w:pPr>
    </w:p>
    <w:p w:rsidR="006D516F" w:rsidRDefault="00B16AEF" w:rsidP="00C77EE4">
      <w:pPr>
        <w:jc w:val="both"/>
        <w:rPr>
          <w:lang w:val="en-GB"/>
        </w:rPr>
      </w:pPr>
      <w:r>
        <w:rPr>
          <w:lang w:val="en-GB"/>
        </w:rPr>
        <w:t>Defining w</w:t>
      </w:r>
      <w:r w:rsidR="00785F49">
        <w:rPr>
          <w:lang w:val="en-GB"/>
        </w:rPr>
        <w:t>orld class e</w:t>
      </w:r>
      <w:r w:rsidR="00514B16">
        <w:rPr>
          <w:lang w:val="en-GB"/>
        </w:rPr>
        <w:t xml:space="preserve">ducation is </w:t>
      </w:r>
      <w:r>
        <w:rPr>
          <w:lang w:val="en-GB"/>
        </w:rPr>
        <w:t>no doubt challenging</w:t>
      </w:r>
      <w:r w:rsidR="0089138B">
        <w:rPr>
          <w:lang w:val="en-GB"/>
        </w:rPr>
        <w:t xml:space="preserve"> </w:t>
      </w:r>
      <w:r w:rsidR="006D516F">
        <w:rPr>
          <w:lang w:val="en-GB"/>
        </w:rPr>
        <w:t>but academic practitioner</w:t>
      </w:r>
      <w:r w:rsidR="00F0286F">
        <w:rPr>
          <w:lang w:val="en-GB"/>
        </w:rPr>
        <w:t>s</w:t>
      </w:r>
      <w:r w:rsidR="006D516F">
        <w:rPr>
          <w:lang w:val="en-GB"/>
        </w:rPr>
        <w:t xml:space="preserve"> with experience can empirically </w:t>
      </w:r>
      <w:r w:rsidR="00F0286F">
        <w:rPr>
          <w:lang w:val="en-GB"/>
        </w:rPr>
        <w:t>define</w:t>
      </w:r>
      <w:r w:rsidR="006D516F">
        <w:rPr>
          <w:lang w:val="en-GB"/>
        </w:rPr>
        <w:t xml:space="preserve"> it as a combinatio</w:t>
      </w:r>
      <w:r w:rsidR="00F0286F">
        <w:rPr>
          <w:lang w:val="en-GB"/>
        </w:rPr>
        <w:t xml:space="preserve">n of four </w:t>
      </w:r>
      <w:r w:rsidR="0017752F">
        <w:rPr>
          <w:lang w:val="en-GB"/>
        </w:rPr>
        <w:t xml:space="preserve">high level </w:t>
      </w:r>
      <w:r w:rsidR="00F0286F">
        <w:rPr>
          <w:lang w:val="en-GB"/>
        </w:rPr>
        <w:t>components. These are:</w:t>
      </w:r>
      <w:r w:rsidR="00180DC3">
        <w:rPr>
          <w:lang w:val="en-GB"/>
        </w:rPr>
        <w:t xml:space="preserve"> academic standards, r</w:t>
      </w:r>
      <w:r w:rsidR="006D516F">
        <w:rPr>
          <w:lang w:val="en-GB"/>
        </w:rPr>
        <w:t xml:space="preserve">esearch and </w:t>
      </w:r>
      <w:r w:rsidR="00180DC3">
        <w:rPr>
          <w:lang w:val="en-GB"/>
        </w:rPr>
        <w:t>i</w:t>
      </w:r>
      <w:r w:rsidR="006D516F">
        <w:rPr>
          <w:lang w:val="en-GB"/>
        </w:rPr>
        <w:t>nnovation</w:t>
      </w:r>
      <w:r w:rsidR="00180DC3">
        <w:rPr>
          <w:lang w:val="en-GB"/>
        </w:rPr>
        <w:t>, lifelong learning and</w:t>
      </w:r>
      <w:r w:rsidR="006D516F">
        <w:rPr>
          <w:lang w:val="en-GB"/>
        </w:rPr>
        <w:t xml:space="preserve"> </w:t>
      </w:r>
      <w:r w:rsidR="00180DC3">
        <w:rPr>
          <w:lang w:val="en-GB"/>
        </w:rPr>
        <w:t>sustainable economic competitiveness</w:t>
      </w:r>
      <w:r w:rsidR="00032547">
        <w:rPr>
          <w:lang w:val="en-GB"/>
        </w:rPr>
        <w:t>.</w:t>
      </w:r>
    </w:p>
    <w:p w:rsidR="006D516F" w:rsidRDefault="006D516F" w:rsidP="00C77EE4">
      <w:pPr>
        <w:jc w:val="both"/>
        <w:rPr>
          <w:lang w:val="en-GB"/>
        </w:rPr>
      </w:pPr>
    </w:p>
    <w:p w:rsidR="006D516F" w:rsidRDefault="006D516F" w:rsidP="006D516F">
      <w:pPr>
        <w:jc w:val="center"/>
        <w:rPr>
          <w:lang w:val="en-GB"/>
        </w:rPr>
      </w:pPr>
      <w:r w:rsidRPr="007A569E">
        <w:rPr>
          <w:noProof/>
          <w:lang w:val="en-GB" w:eastAsia="en-GB"/>
        </w:rPr>
        <w:drawing>
          <wp:inline distT="0" distB="0" distL="0" distR="0" wp14:anchorId="1BA75E17" wp14:editId="7ED16155">
            <wp:extent cx="3355451" cy="1280160"/>
            <wp:effectExtent l="76200" t="57150" r="92710" b="11049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6D516F" w:rsidRPr="006D516F" w:rsidRDefault="006D516F" w:rsidP="006D516F">
      <w:pPr>
        <w:pStyle w:val="Caption"/>
        <w:jc w:val="center"/>
        <w:rPr>
          <w:color w:val="000000" w:themeColor="text1"/>
          <w:lang w:val="en-GB"/>
        </w:rPr>
      </w:pPr>
      <w:r w:rsidRPr="006D516F">
        <w:rPr>
          <w:color w:val="000000" w:themeColor="text1"/>
        </w:rPr>
        <w:t xml:space="preserve">Figure </w:t>
      </w:r>
      <w:r w:rsidRPr="006D516F">
        <w:rPr>
          <w:color w:val="000000" w:themeColor="text1"/>
        </w:rPr>
        <w:fldChar w:fldCharType="begin"/>
      </w:r>
      <w:r w:rsidRPr="006D516F">
        <w:rPr>
          <w:color w:val="000000" w:themeColor="text1"/>
        </w:rPr>
        <w:instrText xml:space="preserve"> SEQ Figure \* ARABIC </w:instrText>
      </w:r>
      <w:r w:rsidRPr="006D516F">
        <w:rPr>
          <w:color w:val="000000" w:themeColor="text1"/>
        </w:rPr>
        <w:fldChar w:fldCharType="separate"/>
      </w:r>
      <w:r w:rsidR="00DF4003">
        <w:rPr>
          <w:noProof/>
          <w:color w:val="000000" w:themeColor="text1"/>
        </w:rPr>
        <w:t>1</w:t>
      </w:r>
      <w:r w:rsidRPr="006D516F">
        <w:rPr>
          <w:color w:val="000000" w:themeColor="text1"/>
        </w:rPr>
        <w:fldChar w:fldCharType="end"/>
      </w:r>
      <w:r w:rsidRPr="006D516F">
        <w:rPr>
          <w:color w:val="000000" w:themeColor="text1"/>
        </w:rPr>
        <w:t xml:space="preserve"> </w:t>
      </w:r>
      <w:r w:rsidR="0086406D" w:rsidRPr="006D516F">
        <w:rPr>
          <w:color w:val="000000" w:themeColor="text1"/>
        </w:rPr>
        <w:t>- World</w:t>
      </w:r>
      <w:r w:rsidRPr="006D516F">
        <w:rPr>
          <w:color w:val="000000" w:themeColor="text1"/>
        </w:rPr>
        <w:t xml:space="preserve"> Class </w:t>
      </w:r>
      <w:r>
        <w:rPr>
          <w:color w:val="000000" w:themeColor="text1"/>
        </w:rPr>
        <w:t>E</w:t>
      </w:r>
      <w:r w:rsidRPr="006D516F">
        <w:rPr>
          <w:color w:val="000000" w:themeColor="text1"/>
        </w:rPr>
        <w:t>ducational</w:t>
      </w:r>
      <w:r>
        <w:rPr>
          <w:color w:val="000000" w:themeColor="text1"/>
        </w:rPr>
        <w:t xml:space="preserve"> System</w:t>
      </w:r>
    </w:p>
    <w:p w:rsidR="00C77EE4" w:rsidRDefault="006D516F" w:rsidP="00D55B2D">
      <w:pPr>
        <w:jc w:val="both"/>
        <w:rPr>
          <w:lang w:val="en-GB"/>
        </w:rPr>
      </w:pPr>
      <w:r>
        <w:rPr>
          <w:lang w:val="en-GB"/>
        </w:rPr>
        <w:t>E</w:t>
      </w:r>
      <w:r w:rsidR="0089138B">
        <w:rPr>
          <w:lang w:val="en-GB"/>
        </w:rPr>
        <w:t>ducation quality frameworks reassure</w:t>
      </w:r>
      <w:r w:rsidR="00C77EE4" w:rsidRPr="00191F0A">
        <w:rPr>
          <w:lang w:val="en-GB"/>
        </w:rPr>
        <w:t xml:space="preserve"> public confidence i</w:t>
      </w:r>
      <w:r w:rsidR="00785F49">
        <w:rPr>
          <w:lang w:val="en-GB"/>
        </w:rPr>
        <w:t xml:space="preserve">n academic </w:t>
      </w:r>
      <w:r w:rsidR="00132931">
        <w:rPr>
          <w:lang w:val="en-GB"/>
        </w:rPr>
        <w:t>standards</w:t>
      </w:r>
      <w:r w:rsidR="0086406D">
        <w:rPr>
          <w:lang w:val="en-GB"/>
        </w:rPr>
        <w:t xml:space="preserve">, </w:t>
      </w:r>
      <w:r w:rsidR="00785F49">
        <w:rPr>
          <w:lang w:val="en-GB"/>
        </w:rPr>
        <w:t>recognise</w:t>
      </w:r>
      <w:r w:rsidR="0086406D">
        <w:rPr>
          <w:lang w:val="en-GB"/>
        </w:rPr>
        <w:t xml:space="preserve"> the embedding of research into the curriculum and identify innovation through engineering disciplines which focus their output on</w:t>
      </w:r>
      <w:r w:rsidR="004A0613">
        <w:rPr>
          <w:lang w:val="en-GB"/>
        </w:rPr>
        <w:t xml:space="preserve"> engineering</w:t>
      </w:r>
      <w:r w:rsidR="0086406D">
        <w:rPr>
          <w:lang w:val="en-GB"/>
        </w:rPr>
        <w:t xml:space="preserve"> project work. </w:t>
      </w:r>
      <w:r w:rsidR="00F0286F">
        <w:rPr>
          <w:lang w:val="en-GB"/>
        </w:rPr>
        <w:t>T</w:t>
      </w:r>
      <w:r w:rsidR="0086406D">
        <w:rPr>
          <w:lang w:val="en-GB"/>
        </w:rPr>
        <w:t xml:space="preserve">hese disciplines are responsible for promoting the unlocking of talent through </w:t>
      </w:r>
      <w:r w:rsidR="00F0286F">
        <w:rPr>
          <w:lang w:val="en-GB"/>
        </w:rPr>
        <w:t>innovation and</w:t>
      </w:r>
      <w:r w:rsidR="009B578B">
        <w:rPr>
          <w:lang w:val="en-GB"/>
        </w:rPr>
        <w:t xml:space="preserve"> act</w:t>
      </w:r>
      <w:r w:rsidR="00F0286F">
        <w:rPr>
          <w:lang w:val="en-GB"/>
        </w:rPr>
        <w:t xml:space="preserve"> as a </w:t>
      </w:r>
      <w:r w:rsidR="00F0286F" w:rsidRPr="00191F0A">
        <w:rPr>
          <w:lang w:val="en-GB"/>
        </w:rPr>
        <w:t>stimulus</w:t>
      </w:r>
      <w:r w:rsidR="00C77EE4" w:rsidRPr="00191F0A">
        <w:rPr>
          <w:lang w:val="en-GB"/>
        </w:rPr>
        <w:t xml:space="preserve"> of</w:t>
      </w:r>
      <w:r w:rsidR="0089138B">
        <w:rPr>
          <w:lang w:val="en-GB"/>
        </w:rPr>
        <w:t xml:space="preserve"> lifelong learning. </w:t>
      </w:r>
      <w:r w:rsidR="00785F49">
        <w:rPr>
          <w:lang w:val="en-GB"/>
        </w:rPr>
        <w:t xml:space="preserve"> </w:t>
      </w:r>
    </w:p>
    <w:p w:rsidR="00F0286F" w:rsidRDefault="00F0286F" w:rsidP="00D55B2D">
      <w:pPr>
        <w:jc w:val="both"/>
        <w:rPr>
          <w:lang w:val="en-GB"/>
        </w:rPr>
      </w:pPr>
      <w:r>
        <w:rPr>
          <w:lang w:val="en-GB"/>
        </w:rPr>
        <w:t>Lifelong learning for an engineer encompasses the keep of a personal development plan detailing the knowledge and skill</w:t>
      </w:r>
      <w:r w:rsidR="003E1CAC">
        <w:rPr>
          <w:lang w:val="en-GB"/>
        </w:rPr>
        <w:t>s</w:t>
      </w:r>
      <w:r>
        <w:rPr>
          <w:lang w:val="en-GB"/>
        </w:rPr>
        <w:t xml:space="preserve"> developed through his/her career</w:t>
      </w:r>
      <w:r w:rsidR="002241C2">
        <w:rPr>
          <w:lang w:val="en-GB"/>
        </w:rPr>
        <w:t xml:space="preserve">, a reflection on the level of proficiency attained in the different job roles and responsibilities </w:t>
      </w:r>
      <w:r w:rsidR="00D55B2D">
        <w:rPr>
          <w:lang w:val="en-GB"/>
        </w:rPr>
        <w:t>and</w:t>
      </w:r>
      <w:r>
        <w:rPr>
          <w:lang w:val="en-GB"/>
        </w:rPr>
        <w:t xml:space="preserve"> identifying plans and </w:t>
      </w:r>
      <w:r w:rsidR="0014273A">
        <w:rPr>
          <w:lang w:val="en-GB"/>
        </w:rPr>
        <w:t xml:space="preserve">making </w:t>
      </w:r>
      <w:r>
        <w:rPr>
          <w:lang w:val="en-GB"/>
        </w:rPr>
        <w:t xml:space="preserve">preparations to undertake </w:t>
      </w:r>
      <w:r w:rsidR="00D55B2D">
        <w:rPr>
          <w:lang w:val="en-GB"/>
        </w:rPr>
        <w:t>training to</w:t>
      </w:r>
      <w:r w:rsidR="002241C2">
        <w:rPr>
          <w:lang w:val="en-GB"/>
        </w:rPr>
        <w:t xml:space="preserve"> bridge the gap between contemporary engineering practice </w:t>
      </w:r>
      <w:r w:rsidR="00040B96">
        <w:rPr>
          <w:lang w:val="en-GB"/>
        </w:rPr>
        <w:t xml:space="preserve">required for a sustainable economic development </w:t>
      </w:r>
      <w:r w:rsidR="00D55B2D">
        <w:rPr>
          <w:lang w:val="en-GB"/>
        </w:rPr>
        <w:t>and the</w:t>
      </w:r>
      <w:r w:rsidR="002241C2">
        <w:rPr>
          <w:lang w:val="en-GB"/>
        </w:rPr>
        <w:t xml:space="preserve"> level of </w:t>
      </w:r>
      <w:r w:rsidR="00040B96">
        <w:rPr>
          <w:lang w:val="en-GB"/>
        </w:rPr>
        <w:t xml:space="preserve">individual </w:t>
      </w:r>
      <w:r w:rsidR="002241C2">
        <w:rPr>
          <w:lang w:val="en-GB"/>
        </w:rPr>
        <w:t xml:space="preserve">professional </w:t>
      </w:r>
      <w:r w:rsidR="0014273A">
        <w:rPr>
          <w:lang w:val="en-GB"/>
        </w:rPr>
        <w:t xml:space="preserve">knowledge and </w:t>
      </w:r>
      <w:r w:rsidR="002241C2">
        <w:rPr>
          <w:lang w:val="en-GB"/>
        </w:rPr>
        <w:t>ability.</w:t>
      </w:r>
    </w:p>
    <w:p w:rsidR="00040B96" w:rsidRDefault="00040B96" w:rsidP="00040B96">
      <w:pPr>
        <w:jc w:val="both"/>
        <w:rPr>
          <w:lang w:val="en-GB"/>
        </w:rPr>
      </w:pPr>
      <w:r>
        <w:rPr>
          <w:lang w:val="en-GB"/>
        </w:rPr>
        <w:t xml:space="preserve">Building a world class education system in a Europe where the priorities since 2008 have turned towards the finding of solutions to address the deepened problems of the financial sector should not discourage those with passion for education to continue to highlight to governments that a solution lies in highly qualified citizens who can through research and innovation develop the ideas that will make the banking engines roar once again. In practical terms this implies </w:t>
      </w:r>
      <w:r w:rsidR="0014273A">
        <w:rPr>
          <w:lang w:val="en-GB"/>
        </w:rPr>
        <w:t xml:space="preserve">too, </w:t>
      </w:r>
      <w:r>
        <w:rPr>
          <w:lang w:val="en-GB"/>
        </w:rPr>
        <w:t xml:space="preserve">recognising those qualified engineers that work in research and development with or without a </w:t>
      </w:r>
      <w:r w:rsidR="0014273A">
        <w:rPr>
          <w:lang w:val="en-GB"/>
        </w:rPr>
        <w:t xml:space="preserve">European Qualification Framework </w:t>
      </w:r>
      <w:r>
        <w:rPr>
          <w:lang w:val="en-GB"/>
        </w:rPr>
        <w:t xml:space="preserve">level 8 </w:t>
      </w:r>
      <w:r w:rsidR="00FC642D">
        <w:rPr>
          <w:lang w:val="en-GB"/>
        </w:rPr>
        <w:t>qualifications</w:t>
      </w:r>
      <w:r>
        <w:rPr>
          <w:lang w:val="en-GB"/>
        </w:rPr>
        <w:t xml:space="preserve">.  </w:t>
      </w:r>
    </w:p>
    <w:p w:rsidR="0014273A" w:rsidRPr="00516051" w:rsidRDefault="0014273A" w:rsidP="00040B96">
      <w:pPr>
        <w:jc w:val="both"/>
        <w:rPr>
          <w:lang w:val="en-GB"/>
        </w:rPr>
      </w:pPr>
      <w:r>
        <w:rPr>
          <w:lang w:val="en-GB"/>
        </w:rPr>
        <w:t xml:space="preserve">Current educational quality standards </w:t>
      </w:r>
      <w:r w:rsidR="00AF3D32">
        <w:rPr>
          <w:lang w:val="en-GB"/>
        </w:rPr>
        <w:t xml:space="preserve">both in UK and at EU </w:t>
      </w:r>
      <w:r>
        <w:rPr>
          <w:lang w:val="en-GB"/>
        </w:rPr>
        <w:t xml:space="preserve">level fall short of this and pay limited recognition to lifelong learning. The concept that one education will fit an individual’s working life is not conducive of sustainable economic development nor </w:t>
      </w:r>
      <w:r w:rsidR="009B578B">
        <w:rPr>
          <w:lang w:val="en-GB"/>
        </w:rPr>
        <w:t>does it promote</w:t>
      </w:r>
      <w:r>
        <w:rPr>
          <w:lang w:val="en-GB"/>
        </w:rPr>
        <w:t xml:space="preserve"> innovation. These factors cause </w:t>
      </w:r>
      <w:r w:rsidR="009B578B">
        <w:rPr>
          <w:lang w:val="en-GB"/>
        </w:rPr>
        <w:t xml:space="preserve">a negative feedback mechanism that hinders employability and mobility.  </w:t>
      </w:r>
      <w:r w:rsidR="00E23D73">
        <w:rPr>
          <w:lang w:val="en-GB"/>
        </w:rPr>
        <w:t>Engineering programme accreditation sta</w:t>
      </w:r>
      <w:r w:rsidR="00AF3D32">
        <w:rPr>
          <w:lang w:val="en-GB"/>
        </w:rPr>
        <w:t xml:space="preserve">ndards have </w:t>
      </w:r>
      <w:r w:rsidR="00E23D73">
        <w:rPr>
          <w:lang w:val="en-GB"/>
        </w:rPr>
        <w:t>t</w:t>
      </w:r>
      <w:r w:rsidR="00AF3D32">
        <w:rPr>
          <w:lang w:val="en-GB"/>
        </w:rPr>
        <w:t>o</w:t>
      </w:r>
      <w:r w:rsidR="00E23D73">
        <w:rPr>
          <w:lang w:val="en-GB"/>
        </w:rPr>
        <w:t xml:space="preserve"> be cohesive to the definition of achievement of a goal</w:t>
      </w:r>
      <w:r w:rsidR="00AF3D32">
        <w:rPr>
          <w:lang w:val="en-GB"/>
        </w:rPr>
        <w:t xml:space="preserve"> which seems agreed by many as the building of a world class educational system for Europe.</w:t>
      </w:r>
    </w:p>
    <w:p w:rsidR="00AF3D32" w:rsidRDefault="00AF3D32" w:rsidP="00C77EE4">
      <w:pPr>
        <w:jc w:val="both"/>
        <w:rPr>
          <w:lang w:val="en-GB"/>
        </w:rPr>
      </w:pPr>
      <w:r w:rsidRPr="00191F0A">
        <w:rPr>
          <w:lang w:val="en-GB"/>
        </w:rPr>
        <w:t xml:space="preserve">It is therefore vital that </w:t>
      </w:r>
      <w:r w:rsidR="00372E97">
        <w:rPr>
          <w:lang w:val="en-GB"/>
        </w:rPr>
        <w:t xml:space="preserve">engineering programmes accreditation criteria promote suitable </w:t>
      </w:r>
      <w:r w:rsidR="0017752F">
        <w:rPr>
          <w:lang w:val="en-GB"/>
        </w:rPr>
        <w:t xml:space="preserve">objectives and related outcomes which </w:t>
      </w:r>
      <w:r w:rsidRPr="00191F0A">
        <w:rPr>
          <w:lang w:val="en-GB"/>
        </w:rPr>
        <w:t>support the relationship between</w:t>
      </w:r>
      <w:r w:rsidR="00FC642D">
        <w:rPr>
          <w:lang w:val="en-GB"/>
        </w:rPr>
        <w:t xml:space="preserve"> academic standards, research and innovation</w:t>
      </w:r>
      <w:r w:rsidRPr="00191F0A">
        <w:rPr>
          <w:lang w:val="en-GB"/>
        </w:rPr>
        <w:t xml:space="preserve">, </w:t>
      </w:r>
      <w:r w:rsidR="00FC642D">
        <w:rPr>
          <w:lang w:val="en-GB"/>
        </w:rPr>
        <w:t xml:space="preserve">lifelong learning and sustainable economic competitiveness </w:t>
      </w:r>
      <w:r w:rsidRPr="00191F0A">
        <w:rPr>
          <w:lang w:val="en-GB"/>
        </w:rPr>
        <w:t>which inform a world class education system</w:t>
      </w:r>
      <w:r w:rsidR="00FC642D">
        <w:rPr>
          <w:lang w:val="en-GB"/>
        </w:rPr>
        <w:t xml:space="preserve"> made of employable engineers where the vacancies exist</w:t>
      </w:r>
      <w:r w:rsidRPr="00191F0A">
        <w:rPr>
          <w:lang w:val="en-GB"/>
        </w:rPr>
        <w:t>.</w:t>
      </w:r>
    </w:p>
    <w:p w:rsidR="00514B16" w:rsidRDefault="00514B16" w:rsidP="00F13601">
      <w:pPr>
        <w:rPr>
          <w:lang w:val="en-GB"/>
        </w:rPr>
      </w:pPr>
    </w:p>
    <w:p w:rsidR="00FB5565" w:rsidRPr="00516051" w:rsidRDefault="00FB5565" w:rsidP="00900D6F">
      <w:pPr>
        <w:jc w:val="both"/>
        <w:rPr>
          <w:lang w:val="en-GB"/>
        </w:rPr>
      </w:pPr>
    </w:p>
    <w:p w:rsidR="00792027" w:rsidRDefault="002241C2" w:rsidP="00516051">
      <w:pPr>
        <w:numPr>
          <w:ilvl w:val="0"/>
          <w:numId w:val="3"/>
        </w:numPr>
        <w:jc w:val="both"/>
        <w:rPr>
          <w:b/>
          <w:lang w:val="en-GB"/>
        </w:rPr>
      </w:pPr>
      <w:r>
        <w:rPr>
          <w:b/>
          <w:lang w:val="en-GB"/>
        </w:rPr>
        <w:t>Employability and Mobility</w:t>
      </w:r>
      <w:r w:rsidR="00792027">
        <w:rPr>
          <w:b/>
          <w:lang w:val="en-GB"/>
        </w:rPr>
        <w:t xml:space="preserve"> </w:t>
      </w:r>
    </w:p>
    <w:p w:rsidR="00792027" w:rsidRDefault="00792027" w:rsidP="00792027">
      <w:pPr>
        <w:jc w:val="both"/>
        <w:rPr>
          <w:b/>
          <w:lang w:val="en-GB"/>
        </w:rPr>
      </w:pPr>
    </w:p>
    <w:p w:rsidR="00F0286F" w:rsidRPr="00F0286F" w:rsidRDefault="00F0286F" w:rsidP="00F0286F">
      <w:pPr>
        <w:jc w:val="both"/>
      </w:pPr>
      <w:r w:rsidRPr="00F0286F">
        <w:t>The concept of employability</w:t>
      </w:r>
      <w:r w:rsidRPr="00F0286F">
        <w:fldChar w:fldCharType="begin"/>
      </w:r>
      <w:r w:rsidRPr="00F0286F">
        <w:instrText xml:space="preserve"> XE "employability" </w:instrText>
      </w:r>
      <w:r w:rsidRPr="00F0286F">
        <w:fldChar w:fldCharType="end"/>
      </w:r>
      <w:r w:rsidRPr="00F0286F">
        <w:t xml:space="preserve"> is in constant review, </w:t>
      </w:r>
      <w:r w:rsidR="00A55FCA">
        <w:t>and</w:t>
      </w:r>
      <w:r w:rsidRPr="00F0286F">
        <w:t xml:space="preserve"> some historical milestones are identified here to have contributed to its better social understanding. </w:t>
      </w:r>
      <w:r w:rsidR="00855D6C">
        <w:t xml:space="preserve">The QAA report on employability of higher education, </w:t>
      </w:r>
      <w:sdt>
        <w:sdtPr>
          <w:id w:val="315201688"/>
          <w:citation/>
        </w:sdtPr>
        <w:sdtEndPr/>
        <w:sdtContent>
          <w:r w:rsidR="00855D6C">
            <w:fldChar w:fldCharType="begin"/>
          </w:r>
          <w:r w:rsidR="00855D6C">
            <w:instrText xml:space="preserve"> CITATION Yor06 \l 2057 </w:instrText>
          </w:r>
          <w:r w:rsidR="00855D6C">
            <w:fldChar w:fldCharType="separate"/>
          </w:r>
          <w:r w:rsidR="00855D6C">
            <w:rPr>
              <w:noProof/>
            </w:rPr>
            <w:t>(Yorke, 2006)</w:t>
          </w:r>
          <w:r w:rsidR="00855D6C">
            <w:rPr>
              <w:noProof/>
            </w:rPr>
            <w:fldChar w:fldCharType="end"/>
          </w:r>
        </w:sdtContent>
      </w:sdt>
      <w:r w:rsidR="00855D6C" w:rsidRPr="004913A6">
        <w:t xml:space="preserve"> develop</w:t>
      </w:r>
      <w:r w:rsidR="00855D6C">
        <w:t>s the idea that employability is not the same as employment, for the simple reason, that it involves the capacity of the graduate to function in a job. Employability as a curricular process is one that facilitates the development of the core and transferable skills appropriate for employment as well as the students’ reflection on their learning and experiences.</w:t>
      </w:r>
    </w:p>
    <w:p w:rsidR="00F0286F" w:rsidRPr="00F0286F" w:rsidRDefault="007D3670" w:rsidP="00F0286F">
      <w:pPr>
        <w:jc w:val="both"/>
      </w:pPr>
      <w:r>
        <w:t>In t</w:t>
      </w:r>
      <w:r w:rsidR="00F0286F" w:rsidRPr="00F0286F">
        <w:t>he UK, despite having a fairly wide view of employability, the Dearing Report</w:t>
      </w:r>
      <w:r w:rsidR="00F0286F" w:rsidRPr="00F0286F">
        <w:fldChar w:fldCharType="begin"/>
      </w:r>
      <w:r w:rsidR="00F0286F" w:rsidRPr="00F0286F">
        <w:instrText xml:space="preserve"> XE "Dearing Report" </w:instrText>
      </w:r>
      <w:r w:rsidR="00F0286F" w:rsidRPr="00F0286F">
        <w:fldChar w:fldCharType="end"/>
      </w:r>
      <w:r w:rsidR="00F0286F" w:rsidRPr="00F0286F">
        <w:t xml:space="preserve"> </w:t>
      </w:r>
      <w:sdt>
        <w:sdtPr>
          <w:id w:val="95729380"/>
          <w:citation/>
        </w:sdtPr>
        <w:sdtEndPr/>
        <w:sdtContent>
          <w:r w:rsidR="00F0286F" w:rsidRPr="00F0286F">
            <w:fldChar w:fldCharType="begin"/>
          </w:r>
          <w:r w:rsidR="00F0286F" w:rsidRPr="00F0286F">
            <w:instrText xml:space="preserve"> CITATION Dea97 \l 2057 </w:instrText>
          </w:r>
          <w:r w:rsidR="00F0286F" w:rsidRPr="00F0286F">
            <w:fldChar w:fldCharType="separate"/>
          </w:r>
          <w:r w:rsidR="00F0286F" w:rsidRPr="00F0286F">
            <w:rPr>
              <w:noProof/>
            </w:rPr>
            <w:t>(Dearing, 1997)</w:t>
          </w:r>
          <w:r w:rsidR="00F0286F" w:rsidRPr="00F0286F">
            <w:rPr>
              <w:noProof/>
            </w:rPr>
            <w:fldChar w:fldCharType="end"/>
          </w:r>
        </w:sdtContent>
      </w:sdt>
      <w:r w:rsidR="00F0286F" w:rsidRPr="00F0286F">
        <w:t xml:space="preserve"> chose to focus attention in recommending the key skills of communication, numeracy, the use of information technology and learning how to learn. </w:t>
      </w:r>
    </w:p>
    <w:p w:rsidR="00F0286F" w:rsidRPr="00F0286F" w:rsidRDefault="00F0286F" w:rsidP="00F0286F">
      <w:pPr>
        <w:jc w:val="both"/>
      </w:pPr>
      <w:r w:rsidRPr="00F0286F">
        <w:t xml:space="preserve">The employability work of </w:t>
      </w:r>
      <w:sdt>
        <w:sdtPr>
          <w:id w:val="95729385"/>
          <w:citation/>
        </w:sdtPr>
        <w:sdtEndPr/>
        <w:sdtContent>
          <w:r w:rsidRPr="00F0286F">
            <w:fldChar w:fldCharType="begin"/>
          </w:r>
          <w:r w:rsidRPr="00F0286F">
            <w:instrText xml:space="preserve"> CITATION Yor03 \l 2057  </w:instrText>
          </w:r>
          <w:r w:rsidRPr="00F0286F">
            <w:fldChar w:fldCharType="separate"/>
          </w:r>
          <w:r w:rsidRPr="00F0286F">
            <w:rPr>
              <w:noProof/>
            </w:rPr>
            <w:t>(Yorke, et al., 2003)</w:t>
          </w:r>
          <w:r w:rsidRPr="00F0286F">
            <w:rPr>
              <w:noProof/>
            </w:rPr>
            <w:fldChar w:fldCharType="end"/>
          </w:r>
        </w:sdtContent>
      </w:sdt>
      <w:r w:rsidRPr="00F0286F">
        <w:t xml:space="preserve"> recognises the initial characteristic of the work of </w:t>
      </w:r>
      <w:sdt>
        <w:sdtPr>
          <w:id w:val="95729386"/>
          <w:citation/>
        </w:sdtPr>
        <w:sdtEndPr/>
        <w:sdtContent>
          <w:r w:rsidRPr="00F0286F">
            <w:fldChar w:fldCharType="begin"/>
          </w:r>
          <w:r w:rsidRPr="00F0286F">
            <w:instrText xml:space="preserve"> CITATION May92 \l 2057 </w:instrText>
          </w:r>
          <w:r w:rsidRPr="00F0286F">
            <w:fldChar w:fldCharType="separate"/>
          </w:r>
          <w:r w:rsidRPr="00F0286F">
            <w:rPr>
              <w:noProof/>
            </w:rPr>
            <w:t>(Mayer, 1992)</w:t>
          </w:r>
          <w:r w:rsidRPr="00F0286F">
            <w:rPr>
              <w:noProof/>
            </w:rPr>
            <w:fldChar w:fldCharType="end"/>
          </w:r>
        </w:sdtContent>
      </w:sdt>
      <w:r w:rsidRPr="00F0286F">
        <w:t xml:space="preserve">.  Core (key) skills and transferable (generic) skills are defined. However the work of </w:t>
      </w:r>
      <w:sdt>
        <w:sdtPr>
          <w:id w:val="95729387"/>
          <w:citation/>
        </w:sdtPr>
        <w:sdtEndPr/>
        <w:sdtContent>
          <w:r w:rsidRPr="00F0286F">
            <w:fldChar w:fldCharType="begin"/>
          </w:r>
          <w:r w:rsidRPr="00F0286F">
            <w:instrText xml:space="preserve"> CITATION Yor09 \l 2057 </w:instrText>
          </w:r>
          <w:r w:rsidRPr="00F0286F">
            <w:fldChar w:fldCharType="separate"/>
          </w:r>
          <w:r w:rsidRPr="00F0286F">
            <w:rPr>
              <w:noProof/>
            </w:rPr>
            <w:t>(Yorke, et al., 2006)</w:t>
          </w:r>
          <w:r w:rsidRPr="00F0286F">
            <w:rPr>
              <w:noProof/>
            </w:rPr>
            <w:fldChar w:fldCharType="end"/>
          </w:r>
        </w:sdtContent>
      </w:sdt>
      <w:r w:rsidRPr="00F0286F">
        <w:t xml:space="preserve">, mirrors the recommendations proposed by the </w:t>
      </w:r>
      <w:sdt>
        <w:sdtPr>
          <w:id w:val="95729388"/>
          <w:citation/>
        </w:sdtPr>
        <w:sdtEndPr/>
        <w:sdtContent>
          <w:r w:rsidRPr="00F0286F">
            <w:fldChar w:fldCharType="begin"/>
          </w:r>
          <w:r w:rsidRPr="00F0286F">
            <w:instrText xml:space="preserve"> CITATION Aus02 \l 2057  </w:instrText>
          </w:r>
          <w:r w:rsidRPr="00F0286F">
            <w:fldChar w:fldCharType="separate"/>
          </w:r>
          <w:r w:rsidRPr="00F0286F">
            <w:rPr>
              <w:noProof/>
            </w:rPr>
            <w:t>(ACCI/BCA, 2002)</w:t>
          </w:r>
          <w:r w:rsidRPr="00F0286F">
            <w:rPr>
              <w:noProof/>
            </w:rPr>
            <w:fldChar w:fldCharType="end"/>
          </w:r>
        </w:sdtContent>
      </w:sdt>
      <w:r w:rsidRPr="00F0286F">
        <w:t xml:space="preserve">, takes the definition of employability to a more complex construct which includes the academic value of acquiring soft skills. These include, for example, a person’s emotional intelligence quotient and the cluster of personality traits.  </w:t>
      </w:r>
    </w:p>
    <w:p w:rsidR="00F0286F" w:rsidRPr="00F0286F" w:rsidRDefault="00F0286F" w:rsidP="00F0286F">
      <w:pPr>
        <w:jc w:val="both"/>
      </w:pPr>
      <w:r w:rsidRPr="00F0286F">
        <w:t xml:space="preserve">Current thinking of employability extends the social understanding of this phenomenon to the context of the state of a nation’s economy and the concept of lifelong learning and calls for more integration of learning theories in the implementation of employability into the curriculum. This implementation is not of type “one size fits all” as one needs to be sensitive to the regional and national labour markets, sociological trends of student recruitment and the importance of economic prosperity, creativity, innovation and entrepreneurialism in the workforce. Evidence of this thinking can be found in </w:t>
      </w:r>
      <w:sdt>
        <w:sdtPr>
          <w:id w:val="95729418"/>
          <w:citation/>
        </w:sdtPr>
        <w:sdtEndPr/>
        <w:sdtContent>
          <w:r w:rsidRPr="00F0286F">
            <w:fldChar w:fldCharType="begin"/>
          </w:r>
          <w:r w:rsidRPr="00F0286F">
            <w:instrText xml:space="preserve"> CITATION Yor06 \l 2057 </w:instrText>
          </w:r>
          <w:r w:rsidRPr="00F0286F">
            <w:fldChar w:fldCharType="separate"/>
          </w:r>
          <w:r w:rsidRPr="00F0286F">
            <w:rPr>
              <w:noProof/>
            </w:rPr>
            <w:t>(Yorke, 2006)</w:t>
          </w:r>
          <w:r w:rsidRPr="00F0286F">
            <w:rPr>
              <w:noProof/>
            </w:rPr>
            <w:fldChar w:fldCharType="end"/>
          </w:r>
        </w:sdtContent>
      </w:sdt>
    </w:p>
    <w:p w:rsidR="00F0286F" w:rsidRDefault="00F0286F" w:rsidP="00F0286F">
      <w:pPr>
        <w:jc w:val="both"/>
      </w:pPr>
      <w:r w:rsidRPr="00F0286F">
        <w:t xml:space="preserve">The </w:t>
      </w:r>
      <w:sdt>
        <w:sdtPr>
          <w:id w:val="280289902"/>
          <w:citation/>
        </w:sdtPr>
        <w:sdtEndPr/>
        <w:sdtContent>
          <w:r w:rsidRPr="00F0286F">
            <w:fldChar w:fldCharType="begin"/>
          </w:r>
          <w:r w:rsidRPr="00F0286F">
            <w:instrText xml:space="preserve"> CITATION ski08 \l 2057  </w:instrText>
          </w:r>
          <w:r w:rsidRPr="00F0286F">
            <w:fldChar w:fldCharType="separate"/>
          </w:r>
          <w:r w:rsidRPr="00F0286F">
            <w:rPr>
              <w:noProof/>
            </w:rPr>
            <w:t>(UK Commission for Employment and Skills, 2009)</w:t>
          </w:r>
          <w:r w:rsidRPr="00F0286F">
            <w:rPr>
              <w:noProof/>
            </w:rPr>
            <w:fldChar w:fldCharType="end"/>
          </w:r>
        </w:sdtContent>
      </w:sdt>
      <w:r w:rsidRPr="00F0286F">
        <w:t xml:space="preserve"> presents the latest philosophy of UK employability. The report identifies challenges, action points and good practice for: employer engagement; leadership and resources; and programme design and delivery. This research, in its appendix C, provides a synoptic overview of twenty definitions of employability skills, with a view to raise prosperity and opportunity of individuals, employers, government and society in general. </w:t>
      </w:r>
      <w:r w:rsidR="00DC4918">
        <w:t xml:space="preserve">These range from knowledge and </w:t>
      </w:r>
      <w:r w:rsidR="00620C0A">
        <w:t>understanding of</w:t>
      </w:r>
      <w:r w:rsidR="00DC4918">
        <w:t xml:space="preserve"> a subject discipline to analysis, problem solving, and critical </w:t>
      </w:r>
      <w:r w:rsidR="007C17A8">
        <w:t>thinking</w:t>
      </w:r>
      <w:r w:rsidR="00DC4918">
        <w:t xml:space="preserve">, including </w:t>
      </w:r>
      <w:r w:rsidR="007C17A8">
        <w:t>self-management and self-awareness</w:t>
      </w:r>
      <w:r w:rsidR="003D1FA4">
        <w:t xml:space="preserve"> to name a few of the criteria</w:t>
      </w:r>
      <w:r w:rsidR="007C17A8">
        <w:t>.</w:t>
      </w:r>
    </w:p>
    <w:p w:rsidR="00E37914" w:rsidRPr="00F0286F" w:rsidRDefault="00E37914" w:rsidP="00F0286F">
      <w:pPr>
        <w:jc w:val="both"/>
      </w:pPr>
      <w:r>
        <w:t xml:space="preserve">One of the </w:t>
      </w:r>
      <w:r w:rsidR="00A55FCA">
        <w:t xml:space="preserve">most recent </w:t>
      </w:r>
      <w:r>
        <w:t>key reports identifying the challenges of mobility</w:t>
      </w:r>
      <w:r w:rsidR="00A55FCA">
        <w:t xml:space="preserve"> is that commissioned by the European </w:t>
      </w:r>
      <w:r w:rsidR="003D1FA4">
        <w:t>Commission</w:t>
      </w:r>
      <w:r w:rsidR="00A55FCA">
        <w:t>, Directorate General</w:t>
      </w:r>
      <w:r w:rsidR="000F5E5F">
        <w:t xml:space="preserve"> for employment, Social affairs and Equal Opportunities </w:t>
      </w:r>
      <w:sdt>
        <w:sdtPr>
          <w:id w:val="603307432"/>
          <w:citation/>
        </w:sdtPr>
        <w:sdtEndPr/>
        <w:sdtContent>
          <w:r w:rsidR="000F5E5F">
            <w:fldChar w:fldCharType="begin"/>
          </w:r>
          <w:r w:rsidR="000F5E5F">
            <w:rPr>
              <w:lang w:val="en-GB"/>
            </w:rPr>
            <w:instrText xml:space="preserve"> CITATION Dan08 \l 2057 </w:instrText>
          </w:r>
          <w:r w:rsidR="000F5E5F">
            <w:fldChar w:fldCharType="separate"/>
          </w:r>
          <w:r w:rsidR="000F5E5F">
            <w:rPr>
              <w:noProof/>
              <w:lang w:val="en-GB"/>
            </w:rPr>
            <w:t xml:space="preserve"> </w:t>
          </w:r>
          <w:r w:rsidR="000F5E5F" w:rsidRPr="000F5E5F">
            <w:rPr>
              <w:noProof/>
              <w:lang w:val="en-GB"/>
            </w:rPr>
            <w:t>(Danish Technological Institute, 2008)</w:t>
          </w:r>
          <w:r w:rsidR="000F5E5F">
            <w:fldChar w:fldCharType="end"/>
          </w:r>
        </w:sdtContent>
      </w:sdt>
      <w:r w:rsidR="000F5E5F">
        <w:t>.</w:t>
      </w:r>
    </w:p>
    <w:p w:rsidR="00F0286F" w:rsidRDefault="000F5E5F" w:rsidP="00792027">
      <w:pPr>
        <w:jc w:val="both"/>
        <w:rPr>
          <w:lang w:val="en-GB"/>
        </w:rPr>
      </w:pPr>
      <w:r>
        <w:rPr>
          <w:lang w:val="en-GB"/>
        </w:rPr>
        <w:t xml:space="preserve">Job mobility, as described by </w:t>
      </w:r>
      <w:sdt>
        <w:sdtPr>
          <w:rPr>
            <w:lang w:val="en-GB"/>
          </w:rPr>
          <w:id w:val="-1736932520"/>
          <w:citation/>
        </w:sdtPr>
        <w:sdtEndPr/>
        <w:sdtContent>
          <w:r>
            <w:rPr>
              <w:lang w:val="en-GB"/>
            </w:rPr>
            <w:fldChar w:fldCharType="begin"/>
          </w:r>
          <w:r>
            <w:rPr>
              <w:lang w:val="en-GB"/>
            </w:rPr>
            <w:instrText xml:space="preserve"> CITATION Dan08 \l 2057 </w:instrText>
          </w:r>
          <w:r>
            <w:rPr>
              <w:lang w:val="en-GB"/>
            </w:rPr>
            <w:fldChar w:fldCharType="separate"/>
          </w:r>
          <w:r w:rsidRPr="000F5E5F">
            <w:rPr>
              <w:noProof/>
              <w:lang w:val="en-GB"/>
            </w:rPr>
            <w:t>(Danish Technological Institute, 2008)</w:t>
          </w:r>
          <w:r>
            <w:rPr>
              <w:lang w:val="en-GB"/>
            </w:rPr>
            <w:fldChar w:fldCharType="end"/>
          </w:r>
        </w:sdtContent>
      </w:sdt>
      <w:r>
        <w:rPr>
          <w:lang w:val="en-GB"/>
        </w:rPr>
        <w:t xml:space="preserve">  involves movement between employers; </w:t>
      </w:r>
      <w:r w:rsidR="007C17A8">
        <w:rPr>
          <w:lang w:val="en-GB"/>
        </w:rPr>
        <w:t>between occupations, steps on the career ladder and unemployment mobility.</w:t>
      </w:r>
      <w:r w:rsidR="00904AB3">
        <w:rPr>
          <w:lang w:val="en-GB"/>
        </w:rPr>
        <w:t xml:space="preserve"> The report presents an inverse U-shaped relationship between overall job mobility and economic growth with mobility contributing significantly to innovation, particularly in knowledge-intensive sectors</w:t>
      </w:r>
      <w:r w:rsidR="00620C0A">
        <w:rPr>
          <w:lang w:val="en-GB"/>
        </w:rPr>
        <w:t>, with very low levels of mobility as well as very high levels being detrimental to economic growth. Europe enjoys high job mobility in the age groups of 25-34 and 35-44 with a positive correlation of job tenure between 4-10 years as ideal in the U-shaped relationship between mobility and productivity</w:t>
      </w:r>
      <w:r w:rsidR="003D1FA4">
        <w:rPr>
          <w:lang w:val="en-GB"/>
        </w:rPr>
        <w:t xml:space="preserve">. </w:t>
      </w:r>
      <w:r w:rsidR="00620C0A">
        <w:rPr>
          <w:lang w:val="en-GB"/>
        </w:rPr>
        <w:t>Flexible contractual arrangements, effective labour market policies and comprehensive lifelong learning policies are also appointed as contributing factors to job mobility.</w:t>
      </w:r>
      <w:r w:rsidR="003D1FA4">
        <w:rPr>
          <w:lang w:val="en-GB"/>
        </w:rPr>
        <w:t xml:space="preserve"> </w:t>
      </w:r>
    </w:p>
    <w:p w:rsidR="00DD3827" w:rsidRDefault="000F5E5F" w:rsidP="00792027">
      <w:pPr>
        <w:jc w:val="both"/>
        <w:rPr>
          <w:lang w:val="en-GB"/>
        </w:rPr>
      </w:pPr>
      <w:r>
        <w:rPr>
          <w:lang w:val="en-GB"/>
        </w:rPr>
        <w:t xml:space="preserve">Key findings of this report indicate that </w:t>
      </w:r>
      <w:r w:rsidR="007B6A6D">
        <w:rPr>
          <w:lang w:val="en-GB"/>
        </w:rPr>
        <w:t>education and</w:t>
      </w:r>
      <w:r>
        <w:rPr>
          <w:lang w:val="en-GB"/>
        </w:rPr>
        <w:t xml:space="preserve"> training policies (including lifelong learning) </w:t>
      </w:r>
      <w:r w:rsidR="007D3670">
        <w:rPr>
          <w:lang w:val="en-GB"/>
        </w:rPr>
        <w:t>should focus on maximising employability of the individual</w:t>
      </w:r>
      <w:r w:rsidR="0067478E">
        <w:rPr>
          <w:lang w:val="en-GB"/>
        </w:rPr>
        <w:t xml:space="preserve">. </w:t>
      </w:r>
    </w:p>
    <w:p w:rsidR="000F5E5F" w:rsidRPr="00516051" w:rsidRDefault="00DD3827" w:rsidP="00792027">
      <w:pPr>
        <w:jc w:val="both"/>
        <w:rPr>
          <w:lang w:val="en-GB"/>
        </w:rPr>
      </w:pPr>
      <w:r>
        <w:rPr>
          <w:lang w:val="en-GB"/>
        </w:rPr>
        <w:t>I</w:t>
      </w:r>
      <w:r w:rsidR="0067478E">
        <w:rPr>
          <w:lang w:val="en-GB"/>
        </w:rPr>
        <w:t>t is well understood that employability does indeed promote mobility and has a positi</w:t>
      </w:r>
      <w:r>
        <w:rPr>
          <w:lang w:val="en-GB"/>
        </w:rPr>
        <w:t>ve impact on sustainable growth.</w:t>
      </w:r>
      <w:r w:rsidR="0067478E">
        <w:rPr>
          <w:lang w:val="en-GB"/>
        </w:rPr>
        <w:t xml:space="preserve"> Engineering programme </w:t>
      </w:r>
      <w:r w:rsidR="00474516">
        <w:rPr>
          <w:lang w:val="en-GB"/>
        </w:rPr>
        <w:t>accreditation</w:t>
      </w:r>
      <w:r w:rsidR="0067478E">
        <w:rPr>
          <w:lang w:val="en-GB"/>
        </w:rPr>
        <w:t xml:space="preserve"> criteria must focus on requirements that emerge out of the </w:t>
      </w:r>
      <w:r w:rsidR="00474516">
        <w:rPr>
          <w:lang w:val="en-GB"/>
        </w:rPr>
        <w:t>common</w:t>
      </w:r>
      <w:r w:rsidR="0067478E">
        <w:rPr>
          <w:lang w:val="en-GB"/>
        </w:rPr>
        <w:t xml:space="preserve"> goal of building a world class European education system where quality systems allow the quick comparison of standards of achievement by engineers at </w:t>
      </w:r>
      <w:r w:rsidR="00474516">
        <w:rPr>
          <w:lang w:val="en-GB"/>
        </w:rPr>
        <w:t>whatever</w:t>
      </w:r>
      <w:r w:rsidR="0067478E">
        <w:rPr>
          <w:lang w:val="en-GB"/>
        </w:rPr>
        <w:t xml:space="preserve"> stage of their career they may be</w:t>
      </w:r>
      <w:r w:rsidR="00356B04">
        <w:rPr>
          <w:lang w:val="en-GB"/>
        </w:rPr>
        <w:t>,</w:t>
      </w:r>
      <w:r w:rsidR="00474516">
        <w:rPr>
          <w:lang w:val="en-GB"/>
        </w:rPr>
        <w:t xml:space="preserve"> and that </w:t>
      </w:r>
      <w:r w:rsidR="00070426">
        <w:rPr>
          <w:lang w:val="en-GB"/>
        </w:rPr>
        <w:t>these standards</w:t>
      </w:r>
      <w:r w:rsidR="00474516">
        <w:rPr>
          <w:lang w:val="en-GB"/>
        </w:rPr>
        <w:t xml:space="preserve"> have employability at the heart of their assessment criteria</w:t>
      </w:r>
      <w:r w:rsidR="000358F4">
        <w:rPr>
          <w:lang w:val="en-GB"/>
        </w:rPr>
        <w:t>.</w:t>
      </w:r>
    </w:p>
    <w:p w:rsidR="003D288B" w:rsidRDefault="003D288B" w:rsidP="00900D6F">
      <w:pPr>
        <w:jc w:val="both"/>
        <w:rPr>
          <w:lang w:val="en-GB"/>
        </w:rPr>
      </w:pPr>
    </w:p>
    <w:p w:rsidR="00DA26C8" w:rsidRPr="00792027" w:rsidRDefault="00DA26C8" w:rsidP="00900D6F">
      <w:pPr>
        <w:jc w:val="both"/>
        <w:rPr>
          <w:b/>
          <w:lang w:val="en-GB"/>
        </w:rPr>
      </w:pPr>
    </w:p>
    <w:p w:rsidR="00B53515" w:rsidRPr="00B53515" w:rsidRDefault="00792027" w:rsidP="00B53515">
      <w:pPr>
        <w:numPr>
          <w:ilvl w:val="0"/>
          <w:numId w:val="3"/>
        </w:numPr>
        <w:jc w:val="both"/>
        <w:rPr>
          <w:b/>
          <w:lang w:val="en-GB"/>
        </w:rPr>
      </w:pPr>
      <w:r>
        <w:rPr>
          <w:b/>
          <w:lang w:val="en-GB"/>
        </w:rPr>
        <w:t xml:space="preserve">UKSPEC </w:t>
      </w:r>
      <w:r w:rsidR="00B53515">
        <w:rPr>
          <w:b/>
          <w:lang w:val="en-GB"/>
        </w:rPr>
        <w:t>and</w:t>
      </w:r>
      <w:r>
        <w:rPr>
          <w:b/>
          <w:lang w:val="en-GB"/>
        </w:rPr>
        <w:t xml:space="preserve"> EUR-ACE</w:t>
      </w:r>
      <w:r w:rsidR="00B53515">
        <w:rPr>
          <w:b/>
          <w:lang w:val="en-GB"/>
        </w:rPr>
        <w:t xml:space="preserve"> </w:t>
      </w:r>
    </w:p>
    <w:p w:rsidR="00792027" w:rsidRDefault="00792027" w:rsidP="00BF2487">
      <w:pPr>
        <w:jc w:val="both"/>
        <w:rPr>
          <w:b/>
          <w:lang w:val="en-GB"/>
        </w:rPr>
      </w:pPr>
    </w:p>
    <w:p w:rsidR="003B6B1A" w:rsidRDefault="000358F4" w:rsidP="000358F4">
      <w:pPr>
        <w:jc w:val="both"/>
      </w:pPr>
      <w:r>
        <w:t xml:space="preserve">The professional, statutory and regulatory bodies (PSRB) play a key role in our society, and especially in </w:t>
      </w:r>
      <w:r w:rsidR="003B6B1A">
        <w:t xml:space="preserve">promoting </w:t>
      </w:r>
      <w:r>
        <w:t xml:space="preserve">employability and </w:t>
      </w:r>
      <w:r w:rsidR="003B6B1A">
        <w:t>mobility of citizens</w:t>
      </w:r>
      <w:r>
        <w:t xml:space="preserve">. </w:t>
      </w:r>
      <w:r w:rsidR="00C96DBC">
        <w:t>I</w:t>
      </w:r>
      <w:r w:rsidR="003B6B1A">
        <w:t xml:space="preserve">n UK the </w:t>
      </w:r>
      <w:r>
        <w:t xml:space="preserve">PSRBs set the standard for professional competence which academia, businesses and industry adhere to. The </w:t>
      </w:r>
      <w:r w:rsidR="003B6B1A">
        <w:t>standards describe</w:t>
      </w:r>
      <w:r>
        <w:t xml:space="preserve"> the value of professional membership, career development and lifelong learning with clear specifications of the levels for attainment of the different professional engineering and technology categories. </w:t>
      </w:r>
    </w:p>
    <w:p w:rsidR="000358F4" w:rsidRDefault="000358F4" w:rsidP="000358F4">
      <w:pPr>
        <w:jc w:val="both"/>
      </w:pPr>
      <w:r w:rsidRPr="002E546C">
        <w:t>The formation process</w:t>
      </w:r>
      <w:r>
        <w:t xml:space="preserve"> </w:t>
      </w:r>
      <w:r w:rsidRPr="002E546C">
        <w:t xml:space="preserve">through which </w:t>
      </w:r>
      <w:r>
        <w:t>E</w:t>
      </w:r>
      <w:r w:rsidRPr="002E546C">
        <w:t xml:space="preserve">ngineering </w:t>
      </w:r>
      <w:r>
        <w:t xml:space="preserve">and Technology </w:t>
      </w:r>
      <w:r w:rsidRPr="002E546C">
        <w:t xml:space="preserve">professionals become competent </w:t>
      </w:r>
      <w:r w:rsidR="00057734">
        <w:t xml:space="preserve">in UK </w:t>
      </w:r>
      <w:r>
        <w:t xml:space="preserve">generally </w:t>
      </w:r>
      <w:r w:rsidRPr="002E546C">
        <w:t>involves</w:t>
      </w:r>
      <w:r>
        <w:t xml:space="preserve"> </w:t>
      </w:r>
      <w:r w:rsidRPr="002E546C">
        <w:t xml:space="preserve">a combination of formal education and </w:t>
      </w:r>
      <w:r>
        <w:t>professional development.</w:t>
      </w:r>
      <w:r w:rsidRPr="002E546C">
        <w:t xml:space="preserve"> However these </w:t>
      </w:r>
      <w:r>
        <w:t>two</w:t>
      </w:r>
      <w:r w:rsidRPr="002E546C">
        <w:t xml:space="preserve"> elements are not</w:t>
      </w:r>
      <w:r>
        <w:t xml:space="preserve"> </w:t>
      </w:r>
      <w:r w:rsidRPr="002E546C">
        <w:t xml:space="preserve">necessarily separate or sequential and </w:t>
      </w:r>
      <w:r>
        <w:t xml:space="preserve">may not always be </w:t>
      </w:r>
      <w:r w:rsidRPr="002E546C">
        <w:t>formally structured.</w:t>
      </w:r>
      <w:r w:rsidRPr="00A05010">
        <w:t xml:space="preserve"> </w:t>
      </w:r>
    </w:p>
    <w:p w:rsidR="00331AC8" w:rsidRDefault="00BF2487" w:rsidP="00BF2487">
      <w:pPr>
        <w:jc w:val="both"/>
      </w:pPr>
      <w:r w:rsidRPr="00C77EE4">
        <w:t>UKSPEC</w:t>
      </w:r>
      <w:r w:rsidR="00C96DBC">
        <w:t xml:space="preserve"> is a standard published by the UK Engineering council and is governed by a Board representing the major professional engineering institutions in the UK</w:t>
      </w:r>
      <w:r w:rsidR="00243A14">
        <w:t xml:space="preserve"> as well as individuals, </w:t>
      </w:r>
      <w:r w:rsidR="00C96DBC">
        <w:t xml:space="preserve">industries and sectors with an interest in regulation of the engineering profession. The standard defines ranks of engineering proficiency with the top level being that of Chartered Engineer (C.Eng.). The </w:t>
      </w:r>
      <w:r w:rsidR="00331AC8">
        <w:t>achievement of such a</w:t>
      </w:r>
      <w:r w:rsidR="00C96DBC">
        <w:t xml:space="preserve"> standard is depended on </w:t>
      </w:r>
      <w:r w:rsidR="00331AC8">
        <w:t>successful completion of an</w:t>
      </w:r>
      <w:r w:rsidR="00C96DBC">
        <w:t xml:space="preserve"> academic second cycle qualification </w:t>
      </w:r>
      <w:r w:rsidR="00B65926">
        <w:t>in an</w:t>
      </w:r>
      <w:r w:rsidR="00331AC8">
        <w:t xml:space="preserve"> engineering discipline, </w:t>
      </w:r>
      <w:r w:rsidR="00C96DBC">
        <w:t xml:space="preserve">work experience standards </w:t>
      </w:r>
      <w:r w:rsidR="00331AC8">
        <w:t xml:space="preserve">measured by competency areas and a professional development interview. </w:t>
      </w:r>
    </w:p>
    <w:p w:rsidR="00331AC8" w:rsidRDefault="00243A14" w:rsidP="00BF2487">
      <w:pPr>
        <w:jc w:val="both"/>
      </w:pPr>
      <w:r>
        <w:t xml:space="preserve">The successful integration of engineers through European mobility programmes </w:t>
      </w:r>
      <w:r w:rsidR="00CE4F2B">
        <w:t>is</w:t>
      </w:r>
      <w:r>
        <w:t xml:space="preserve"> dependent on the close alignment of pre and post higher education quality standards. While UKSPEC and EU</w:t>
      </w:r>
      <w:r w:rsidR="00CE4F2B">
        <w:t>R</w:t>
      </w:r>
      <w:r w:rsidR="009E2F8A">
        <w:t xml:space="preserve">-ACE are almost in </w:t>
      </w:r>
      <w:r>
        <w:t xml:space="preserve">harmony </w:t>
      </w:r>
      <w:r w:rsidR="009E2F8A">
        <w:t xml:space="preserve">(see </w:t>
      </w:r>
      <w:r w:rsidR="009E2F8A">
        <w:fldChar w:fldCharType="begin"/>
      </w:r>
      <w:r w:rsidR="009E2F8A">
        <w:instrText xml:space="preserve"> REF _Ref332109659 \h </w:instrText>
      </w:r>
      <w:r w:rsidR="009E2F8A">
        <w:fldChar w:fldCharType="separate"/>
      </w:r>
      <w:r w:rsidR="00DF4003" w:rsidRPr="006D516F">
        <w:rPr>
          <w:color w:val="000000" w:themeColor="text1"/>
        </w:rPr>
        <w:t xml:space="preserve">Figure </w:t>
      </w:r>
      <w:r w:rsidR="00DF4003">
        <w:rPr>
          <w:noProof/>
          <w:color w:val="000000" w:themeColor="text1"/>
        </w:rPr>
        <w:t>2</w:t>
      </w:r>
      <w:r w:rsidR="009E2F8A">
        <w:fldChar w:fldCharType="end"/>
      </w:r>
      <w:r w:rsidR="009E2F8A">
        <w:t>), the</w:t>
      </w:r>
      <w:r w:rsidR="00B65926">
        <w:t xml:space="preserve"> output criteria of the</w:t>
      </w:r>
      <w:r w:rsidR="009E2F8A">
        <w:t xml:space="preserve"> two standards </w:t>
      </w:r>
      <w:r w:rsidR="00B65926">
        <w:t xml:space="preserve">follow slight different definitions. </w:t>
      </w:r>
      <w:r w:rsidR="00D27E05">
        <w:t xml:space="preserve"> </w:t>
      </w:r>
    </w:p>
    <w:p w:rsidR="000358F4" w:rsidRDefault="000358F4" w:rsidP="00792027">
      <w:pPr>
        <w:ind w:left="360"/>
        <w:jc w:val="both"/>
      </w:pPr>
    </w:p>
    <w:p w:rsidR="00243A14" w:rsidRDefault="00243A14" w:rsidP="00792027">
      <w:pPr>
        <w:ind w:left="360"/>
        <w:jc w:val="both"/>
      </w:pPr>
    </w:p>
    <w:p w:rsidR="00243A14" w:rsidRDefault="00243A14" w:rsidP="009E2F8A">
      <w:pPr>
        <w:ind w:left="360"/>
        <w:jc w:val="center"/>
      </w:pPr>
      <w:r>
        <w:rPr>
          <w:noProof/>
          <w:lang w:val="en-GB" w:eastAsia="en-GB"/>
        </w:rPr>
        <w:drawing>
          <wp:inline distT="0" distB="0" distL="0" distR="0" wp14:anchorId="3918984D" wp14:editId="7F978FAB">
            <wp:extent cx="4469587" cy="2926080"/>
            <wp:effectExtent l="38100" t="38100" r="45720" b="4572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331AC8" w:rsidRPr="00634445" w:rsidRDefault="00331AC8" w:rsidP="00792027">
      <w:pPr>
        <w:ind w:left="360"/>
        <w:jc w:val="both"/>
        <w:rPr>
          <w:b/>
          <w:lang w:val="en-GB"/>
        </w:rPr>
      </w:pPr>
    </w:p>
    <w:p w:rsidR="00CE4F2B" w:rsidRPr="006D516F" w:rsidRDefault="00CE4F2B" w:rsidP="00CE4F2B">
      <w:pPr>
        <w:pStyle w:val="Caption"/>
        <w:jc w:val="center"/>
        <w:rPr>
          <w:color w:val="000000" w:themeColor="text1"/>
          <w:lang w:val="en-GB"/>
        </w:rPr>
      </w:pPr>
      <w:bookmarkStart w:id="0" w:name="_Ref332109659"/>
      <w:r w:rsidRPr="006D516F">
        <w:rPr>
          <w:color w:val="000000" w:themeColor="text1"/>
        </w:rPr>
        <w:t xml:space="preserve">Figure </w:t>
      </w:r>
      <w:r w:rsidRPr="006D516F">
        <w:rPr>
          <w:color w:val="000000" w:themeColor="text1"/>
        </w:rPr>
        <w:fldChar w:fldCharType="begin"/>
      </w:r>
      <w:r w:rsidRPr="006D516F">
        <w:rPr>
          <w:color w:val="000000" w:themeColor="text1"/>
        </w:rPr>
        <w:instrText xml:space="preserve"> SEQ Figure \* ARABIC </w:instrText>
      </w:r>
      <w:r w:rsidRPr="006D516F">
        <w:rPr>
          <w:color w:val="000000" w:themeColor="text1"/>
        </w:rPr>
        <w:fldChar w:fldCharType="separate"/>
      </w:r>
      <w:r w:rsidR="00DF4003">
        <w:rPr>
          <w:noProof/>
          <w:color w:val="000000" w:themeColor="text1"/>
        </w:rPr>
        <w:t>2</w:t>
      </w:r>
      <w:r w:rsidRPr="006D516F">
        <w:rPr>
          <w:color w:val="000000" w:themeColor="text1"/>
        </w:rPr>
        <w:fldChar w:fldCharType="end"/>
      </w:r>
      <w:bookmarkEnd w:id="0"/>
      <w:r w:rsidRPr="006D516F">
        <w:rPr>
          <w:color w:val="000000" w:themeColor="text1"/>
        </w:rPr>
        <w:t xml:space="preserve"> </w:t>
      </w:r>
      <w:r>
        <w:rPr>
          <w:color w:val="000000" w:themeColor="text1"/>
        </w:rPr>
        <w:t>–</w:t>
      </w:r>
      <w:r w:rsidRPr="006D516F">
        <w:rPr>
          <w:color w:val="000000" w:themeColor="text1"/>
        </w:rPr>
        <w:t xml:space="preserve"> </w:t>
      </w:r>
      <w:r>
        <w:rPr>
          <w:color w:val="000000" w:themeColor="text1"/>
        </w:rPr>
        <w:t>UKSPEC vs EUR-ACE</w:t>
      </w:r>
      <w:r w:rsidRPr="006D516F">
        <w:rPr>
          <w:color w:val="000000" w:themeColor="text1"/>
        </w:rPr>
        <w:t xml:space="preserve"> </w:t>
      </w:r>
      <w:r w:rsidR="00D23BBF">
        <w:rPr>
          <w:color w:val="000000" w:themeColor="text1"/>
        </w:rPr>
        <w:t>framework of standards for the accreditation of engineering programmes</w:t>
      </w:r>
    </w:p>
    <w:p w:rsidR="00B65926" w:rsidRDefault="00B65926" w:rsidP="00B65926">
      <w:pPr>
        <w:jc w:val="both"/>
        <w:rPr>
          <w:lang w:val="en-GB"/>
        </w:rPr>
      </w:pPr>
      <w:r>
        <w:t xml:space="preserve">EUR-ACE </w:t>
      </w:r>
      <w:r w:rsidR="00E10F9E">
        <w:t>emphasises</w:t>
      </w:r>
      <w:r>
        <w:t xml:space="preserve"> appropriate methods to conduct research while </w:t>
      </w:r>
      <w:r>
        <w:rPr>
          <w:lang w:val="en-GB"/>
        </w:rPr>
        <w:t>UKSPEC has a focus on knowledge and understanding of commercial, economic context of engineering and relevant legal requirements governing engineering activities. The packaging of the inner definitions of each criteria</w:t>
      </w:r>
      <w:r w:rsidR="00E10F9E">
        <w:rPr>
          <w:lang w:val="en-GB"/>
        </w:rPr>
        <w:t xml:space="preserve"> although not strictly the same</w:t>
      </w:r>
      <w:r>
        <w:rPr>
          <w:lang w:val="en-GB"/>
        </w:rPr>
        <w:t xml:space="preserve"> has the same overall effect which end customers and the public in genera</w:t>
      </w:r>
      <w:r w:rsidR="00E10F9E">
        <w:rPr>
          <w:lang w:val="en-GB"/>
        </w:rPr>
        <w:t>l</w:t>
      </w:r>
      <w:r>
        <w:rPr>
          <w:lang w:val="en-GB"/>
        </w:rPr>
        <w:t xml:space="preserve"> can trus</w:t>
      </w:r>
      <w:r w:rsidR="00E10F9E">
        <w:rPr>
          <w:lang w:val="en-GB"/>
        </w:rPr>
        <w:t>t and would expect from a framework of quality labels that can enable the employability and mobility of engineering practitioners</w:t>
      </w:r>
      <w:r>
        <w:rPr>
          <w:lang w:val="en-GB"/>
        </w:rPr>
        <w:t xml:space="preserve">. </w:t>
      </w:r>
      <w:r w:rsidR="00E10F9E">
        <w:rPr>
          <w:lang w:val="en-GB"/>
        </w:rPr>
        <w:t>One could almost assume that EUR-ACE is more accommodating of level 8 qualifications where UKSPEC fall short of this standard</w:t>
      </w:r>
      <w:r w:rsidR="00396893">
        <w:rPr>
          <w:lang w:val="en-GB"/>
        </w:rPr>
        <w:t>.</w:t>
      </w:r>
    </w:p>
    <w:p w:rsidR="00396893" w:rsidRDefault="00396893" w:rsidP="00B65926">
      <w:pPr>
        <w:jc w:val="both"/>
        <w:rPr>
          <w:lang w:val="en-GB"/>
        </w:rPr>
      </w:pPr>
      <w:r>
        <w:rPr>
          <w:lang w:val="en-GB"/>
        </w:rPr>
        <w:t xml:space="preserve">We have to bear in mind that for a UK aspiring engineer to qualify with a professional title such as C.Eng., the UKSPEC is just a form of accreditation of first and second degree cycles. </w:t>
      </w:r>
      <w:r w:rsidR="00BD4069">
        <w:rPr>
          <w:lang w:val="en-GB"/>
        </w:rPr>
        <w:t>Assessed professional development experience of the competence and commitment standards</w:t>
      </w:r>
      <w:r w:rsidR="009D3698">
        <w:rPr>
          <w:lang w:val="en-GB"/>
        </w:rPr>
        <w:t xml:space="preserve"> for Chartered E</w:t>
      </w:r>
      <w:r w:rsidR="001D134E">
        <w:rPr>
          <w:lang w:val="en-GB"/>
        </w:rPr>
        <w:t>ngineers under five</w:t>
      </w:r>
      <w:r w:rsidR="00BD4069">
        <w:rPr>
          <w:lang w:val="en-GB"/>
        </w:rPr>
        <w:t xml:space="preserve"> mandatory heading</w:t>
      </w:r>
      <w:r w:rsidR="001D134E">
        <w:rPr>
          <w:lang w:val="en-GB"/>
        </w:rPr>
        <w:t>s</w:t>
      </w:r>
      <w:r w:rsidR="00BD4069">
        <w:rPr>
          <w:lang w:val="en-GB"/>
        </w:rPr>
        <w:t xml:space="preserve"> </w:t>
      </w:r>
      <w:r w:rsidR="009D3698">
        <w:rPr>
          <w:lang w:val="en-GB"/>
        </w:rPr>
        <w:t>is</w:t>
      </w:r>
      <w:r w:rsidR="00BD4069">
        <w:rPr>
          <w:lang w:val="en-GB"/>
        </w:rPr>
        <w:t xml:space="preserve"> also required. </w:t>
      </w:r>
      <w:r w:rsidR="001D134E">
        <w:rPr>
          <w:lang w:val="en-GB"/>
        </w:rPr>
        <w:t>The</w:t>
      </w:r>
      <w:r w:rsidR="00ED7E67">
        <w:rPr>
          <w:lang w:val="en-GB"/>
        </w:rPr>
        <w:t xml:space="preserve"> </w:t>
      </w:r>
      <w:r w:rsidR="00E61BA0">
        <w:rPr>
          <w:lang w:val="en-GB"/>
        </w:rPr>
        <w:t xml:space="preserve">C.Eng. </w:t>
      </w:r>
      <w:r w:rsidR="001D134E">
        <w:rPr>
          <w:lang w:val="en-GB"/>
        </w:rPr>
        <w:t xml:space="preserve">encompass using a combination of general and specialist engineering knowledge and understanding to optimise the application of existing and emerging technology; </w:t>
      </w:r>
      <w:r w:rsidR="00E61BA0">
        <w:rPr>
          <w:lang w:val="en-GB"/>
        </w:rPr>
        <w:t>a</w:t>
      </w:r>
      <w:r w:rsidR="001D134E">
        <w:rPr>
          <w:lang w:val="en-GB"/>
        </w:rPr>
        <w:t xml:space="preserve">pply appropriate theoretical and practical methods to the analysis and solution of engineering problems; provide technical and commercial leadership; demonstrate effective interpersonal skills; demonstrate a personal commitment </w:t>
      </w:r>
      <w:r w:rsidR="00E61BA0">
        <w:rPr>
          <w:lang w:val="en-GB"/>
        </w:rPr>
        <w:t>to professional standards, recognising obligations to society, the profession and the environment.</w:t>
      </w:r>
    </w:p>
    <w:p w:rsidR="00B65926" w:rsidRDefault="00EF2EF9" w:rsidP="00B65926">
      <w:pPr>
        <w:jc w:val="both"/>
        <w:rPr>
          <w:lang w:val="en-GB"/>
        </w:rPr>
      </w:pPr>
      <w:r>
        <w:rPr>
          <w:lang w:val="en-GB"/>
        </w:rPr>
        <w:t>It is clear that in this ranking differentiation of the competency of an engineer that Europe may face the challenge of harmonising  criteria to fully promote mobility . After all a C.Eng title is clear evidence in support of lifelong learning that adds a protective layer to those wishing to recruit high calibre engineers based on their engineering practice and personal competencies.</w:t>
      </w:r>
    </w:p>
    <w:p w:rsidR="009E2F8A" w:rsidRDefault="00621EC8" w:rsidP="00900D6F">
      <w:pPr>
        <w:jc w:val="both"/>
        <w:rPr>
          <w:lang w:val="en-GB"/>
        </w:rPr>
      </w:pPr>
      <w:r>
        <w:t xml:space="preserve">The solution lies in continuing to respect the great diversity of engineering education within the European </w:t>
      </w:r>
      <w:r w:rsidR="00622D6A">
        <w:t>Higher Education a</w:t>
      </w:r>
      <w:r>
        <w:t>re</w:t>
      </w:r>
      <w:r w:rsidR="00622D6A">
        <w:t>a</w:t>
      </w:r>
      <w:r>
        <w:t xml:space="preserve"> and to extend the quality labels to cover lifelong learning whether</w:t>
      </w:r>
      <w:r w:rsidR="00C320FF">
        <w:t xml:space="preserve"> as part of</w:t>
      </w:r>
      <w:r>
        <w:t xml:space="preserve"> a structured development programme or to acknowledge engineering experiences through engineering roles and responsibilities undertaken by engineering practitioners along their careers.</w:t>
      </w:r>
    </w:p>
    <w:p w:rsidR="003D288B" w:rsidRDefault="009E2F8A" w:rsidP="00900D6F">
      <w:pPr>
        <w:jc w:val="both"/>
        <w:rPr>
          <w:lang w:val="en-GB"/>
        </w:rPr>
      </w:pPr>
      <w:r>
        <w:rPr>
          <w:lang w:val="en-GB"/>
        </w:rPr>
        <w:t xml:space="preserve"> </w:t>
      </w:r>
    </w:p>
    <w:p w:rsidR="00DA26C8" w:rsidRPr="00634445" w:rsidRDefault="00DA26C8" w:rsidP="00900D6F">
      <w:pPr>
        <w:jc w:val="both"/>
        <w:rPr>
          <w:lang w:val="en-GB"/>
        </w:rPr>
      </w:pPr>
    </w:p>
    <w:p w:rsidR="00792027" w:rsidRDefault="00330347" w:rsidP="00792027">
      <w:pPr>
        <w:numPr>
          <w:ilvl w:val="0"/>
          <w:numId w:val="3"/>
        </w:numPr>
        <w:jc w:val="both"/>
        <w:rPr>
          <w:b/>
          <w:lang w:val="en-GB"/>
        </w:rPr>
      </w:pPr>
      <w:r>
        <w:rPr>
          <w:b/>
          <w:lang w:val="en-GB"/>
        </w:rPr>
        <w:t>Q</w:t>
      </w:r>
      <w:r w:rsidR="00696BA6">
        <w:rPr>
          <w:b/>
          <w:lang w:val="en-GB"/>
        </w:rPr>
        <w:t>uality a</w:t>
      </w:r>
      <w:r w:rsidR="009636D9">
        <w:rPr>
          <w:b/>
          <w:lang w:val="en-GB"/>
        </w:rPr>
        <w:t xml:space="preserve">ssurance of </w:t>
      </w:r>
      <w:r w:rsidR="00293150">
        <w:rPr>
          <w:b/>
          <w:lang w:val="en-GB"/>
        </w:rPr>
        <w:t>e</w:t>
      </w:r>
      <w:r w:rsidR="00EF2EF9">
        <w:rPr>
          <w:b/>
          <w:lang w:val="en-GB"/>
        </w:rPr>
        <w:t>ngineering programme accreditation</w:t>
      </w:r>
      <w:r w:rsidR="00696BA6">
        <w:rPr>
          <w:b/>
          <w:lang w:val="en-GB"/>
        </w:rPr>
        <w:t xml:space="preserve"> under EUR-ACE</w:t>
      </w:r>
    </w:p>
    <w:p w:rsidR="00792027" w:rsidRDefault="00792027" w:rsidP="00792027">
      <w:pPr>
        <w:pStyle w:val="ListParagraph"/>
        <w:ind w:left="360"/>
        <w:jc w:val="both"/>
        <w:rPr>
          <w:lang w:val="en-GB"/>
        </w:rPr>
      </w:pPr>
    </w:p>
    <w:p w:rsidR="000029BA" w:rsidRPr="00DA26C8" w:rsidRDefault="000029BA" w:rsidP="000029BA">
      <w:pPr>
        <w:jc w:val="both"/>
      </w:pPr>
      <w:r>
        <w:t xml:space="preserve">The </w:t>
      </w:r>
      <w:r w:rsidRPr="00DA26C8">
        <w:t>EUR-ACE is a system</w:t>
      </w:r>
      <w:r w:rsidR="00696BA6">
        <w:t xml:space="preserve"> that</w:t>
      </w:r>
      <w:r w:rsidRPr="00DA26C8">
        <w:t xml:space="preserve"> recognises the equivalence of the standards and procedures of national accreditation agencies, e.g. Engineering </w:t>
      </w:r>
      <w:r w:rsidR="00E33357" w:rsidRPr="00DA26C8">
        <w:t>Council,</w:t>
      </w:r>
      <w:r w:rsidRPr="00DA26C8">
        <w:t xml:space="preserve"> to those of the overarching EUR-ACE framework. </w:t>
      </w:r>
      <w:r w:rsidR="0065208C">
        <w:t>The e</w:t>
      </w:r>
      <w:r w:rsidRPr="00DA26C8">
        <w:t>quivalence is denoted by the national agencies being authorised to award EUR-ACE labels to qualifications which the agencies have accredited.</w:t>
      </w:r>
    </w:p>
    <w:p w:rsidR="00DA26C8" w:rsidRPr="00DA26C8" w:rsidRDefault="00DA26C8" w:rsidP="000029BA">
      <w:pPr>
        <w:jc w:val="both"/>
      </w:pPr>
      <w:r w:rsidRPr="00DA26C8">
        <w:t>The Engineering Council</w:t>
      </w:r>
      <w:r w:rsidR="000029BA">
        <w:t xml:space="preserve"> UK</w:t>
      </w:r>
      <w:r w:rsidRPr="00DA26C8">
        <w:t xml:space="preserve"> is able to offer EUR-ACE labels for any </w:t>
      </w:r>
      <w:r w:rsidR="000029BA">
        <w:t xml:space="preserve">engineering </w:t>
      </w:r>
      <w:r w:rsidRPr="00DA26C8">
        <w:t>programme which is currently in accreditation (First Bologna Cycle Label for bachelor degrees, Second Bologna Cycle Label for M</w:t>
      </w:r>
      <w:r w:rsidR="005319FE">
        <w:t>.</w:t>
      </w:r>
      <w:r w:rsidRPr="00DA26C8">
        <w:t>Eng</w:t>
      </w:r>
      <w:r w:rsidR="005319FE">
        <w:t>.</w:t>
      </w:r>
      <w:r w:rsidRPr="00DA26C8">
        <w:t xml:space="preserve"> and MSc)</w:t>
      </w:r>
      <w:r w:rsidR="0065208C">
        <w:t xml:space="preserve"> in the UK</w:t>
      </w:r>
      <w:r w:rsidRPr="00DA26C8">
        <w:t>. The label is valid for the current accreditation period, and can be renewed when a programme is re-accredited.</w:t>
      </w:r>
    </w:p>
    <w:p w:rsidR="00293150" w:rsidRDefault="004C330E" w:rsidP="00DA26C8">
      <w:pPr>
        <w:jc w:val="both"/>
      </w:pPr>
      <w:r>
        <w:t>As</w:t>
      </w:r>
      <w:r w:rsidR="000029BA">
        <w:t xml:space="preserve"> a nominated accreditor of the Institution of Engineering and Technology </w:t>
      </w:r>
      <w:r w:rsidR="00696BA6">
        <w:t xml:space="preserve">I can comment authoritatively </w:t>
      </w:r>
      <w:r w:rsidR="00293150">
        <w:t xml:space="preserve">on the robust, extensive and intensive process that is for a Higher Education Institution to obtain </w:t>
      </w:r>
      <w:r w:rsidR="000A3439">
        <w:t xml:space="preserve">either a UK-SPEC or EUR-ACE quality label. While a dissection of the individual criteria of the accreditation is beyond the scope of this review, it is worth citing the </w:t>
      </w:r>
      <w:r w:rsidR="00040E3E">
        <w:t>main accreditation headings and their scope.</w:t>
      </w:r>
      <w:r w:rsidR="005C4FFE">
        <w:t xml:space="preserve"> </w:t>
      </w:r>
    </w:p>
    <w:p w:rsidR="005C4FFE" w:rsidRDefault="005C4FFE" w:rsidP="00DA26C8">
      <w:pPr>
        <w:jc w:val="both"/>
      </w:pPr>
      <w:r>
        <w:t xml:space="preserve">The visit to an institution lasts two complete days with a team </w:t>
      </w:r>
      <w:r w:rsidR="00BF1F9B">
        <w:t>of typically</w:t>
      </w:r>
      <w:r>
        <w:t xml:space="preserve"> four accreditors drawn from a mix of education and industry. </w:t>
      </w:r>
    </w:p>
    <w:p w:rsidR="00BF1F9B" w:rsidRPr="00DA26C8" w:rsidRDefault="00BF1F9B" w:rsidP="00DA26C8">
      <w:pPr>
        <w:jc w:val="both"/>
      </w:pPr>
      <w:r>
        <w:t>The accreditation process looks at the programmes aims and objectives and whether these follow a SMART (specific, measurable, attainable, relevant and time bound) rationale. The level of innovation of the programmes is also considered under this heading. Any outcomes from previous accreditation visits are checked with particular emphasis with the full compliance with previous accreditation action plans imposed on the institution.</w:t>
      </w:r>
    </w:p>
    <w:p w:rsidR="003D288B" w:rsidRDefault="009737CB" w:rsidP="00900D6F">
      <w:pPr>
        <w:jc w:val="both"/>
        <w:rPr>
          <w:lang w:val="en-GB"/>
        </w:rPr>
      </w:pPr>
      <w:r>
        <w:rPr>
          <w:lang w:val="en-GB"/>
        </w:rPr>
        <w:t>The endoscopy of the programmes is analysed from the UKSPEC and EUR-ACE framework perspectives, thus considering the criteria presented</w:t>
      </w:r>
      <w:r w:rsidR="008802E3">
        <w:rPr>
          <w:lang w:val="en-GB"/>
        </w:rPr>
        <w:t xml:space="preserve"> in</w:t>
      </w:r>
      <w:r>
        <w:rPr>
          <w:lang w:val="en-GB"/>
        </w:rPr>
        <w:t xml:space="preserve"> </w:t>
      </w:r>
      <w:r>
        <w:rPr>
          <w:lang w:val="en-GB"/>
        </w:rPr>
        <w:fldChar w:fldCharType="begin"/>
      </w:r>
      <w:r>
        <w:rPr>
          <w:lang w:val="en-GB"/>
        </w:rPr>
        <w:instrText xml:space="preserve"> REF _Ref332109659 \h  \* MERGEFORMAT </w:instrText>
      </w:r>
      <w:r>
        <w:rPr>
          <w:lang w:val="en-GB"/>
        </w:rPr>
      </w:r>
      <w:r>
        <w:rPr>
          <w:lang w:val="en-GB"/>
        </w:rPr>
        <w:fldChar w:fldCharType="separate"/>
      </w:r>
      <w:r w:rsidRPr="006D516F">
        <w:rPr>
          <w:color w:val="000000" w:themeColor="text1"/>
        </w:rPr>
        <w:t>F</w:t>
      </w:r>
      <w:r w:rsidRPr="009737CB">
        <w:rPr>
          <w:lang w:val="en-GB"/>
        </w:rPr>
        <w:t>igure 2</w:t>
      </w:r>
      <w:r>
        <w:rPr>
          <w:lang w:val="en-GB"/>
        </w:rPr>
        <w:fldChar w:fldCharType="end"/>
      </w:r>
      <w:r>
        <w:rPr>
          <w:lang w:val="en-GB"/>
        </w:rPr>
        <w:t xml:space="preserve">.  Examination papers, continuous assessment practices, the balance of assessment and laboratory work are looked at in detail both in terms of the real samples presented by the institution and the </w:t>
      </w:r>
      <w:r w:rsidR="008802E3">
        <w:rPr>
          <w:lang w:val="en-GB"/>
        </w:rPr>
        <w:t xml:space="preserve">quality control policies in place at the institution to ensure appropriateness of the work and internal </w:t>
      </w:r>
      <w:r w:rsidR="00B53487">
        <w:rPr>
          <w:lang w:val="en-GB"/>
        </w:rPr>
        <w:t>and external</w:t>
      </w:r>
      <w:r w:rsidR="008802E3">
        <w:rPr>
          <w:lang w:val="en-GB"/>
        </w:rPr>
        <w:t xml:space="preserve"> scrutiny</w:t>
      </w:r>
      <w:r w:rsidR="00B53487">
        <w:rPr>
          <w:lang w:val="en-GB"/>
        </w:rPr>
        <w:t>.</w:t>
      </w:r>
      <w:r w:rsidR="0065208C">
        <w:rPr>
          <w:lang w:val="en-GB"/>
        </w:rPr>
        <w:t xml:space="preserve"> The level and balance of group work and industrial influence, sponsorship and training on the programmes is monitored. </w:t>
      </w:r>
      <w:r w:rsidR="0065208C" w:rsidRPr="00D27E05">
        <w:rPr>
          <w:lang w:val="en-GB"/>
        </w:rPr>
        <w:t>Accreditors look for active industrial involvement and engineering curricula informed by research.</w:t>
      </w:r>
    </w:p>
    <w:p w:rsidR="008A143F" w:rsidRDefault="0065208C" w:rsidP="00900D6F">
      <w:pPr>
        <w:jc w:val="both"/>
        <w:rPr>
          <w:lang w:val="en-GB"/>
        </w:rPr>
      </w:pPr>
      <w:r>
        <w:rPr>
          <w:lang w:val="en-GB"/>
        </w:rPr>
        <w:t xml:space="preserve">Another key section of the accreditation is </w:t>
      </w:r>
      <w:r w:rsidRPr="00D27E05">
        <w:rPr>
          <w:lang w:val="en-GB"/>
        </w:rPr>
        <w:t>the student admission progression and awards standards. Entry qualifications and student profiles of entry are statistically analysed</w:t>
      </w:r>
      <w:r w:rsidR="00622D6A" w:rsidRPr="00D27E05">
        <w:rPr>
          <w:lang w:val="en-GB"/>
        </w:rPr>
        <w:t xml:space="preserve"> and compared with exi</w:t>
      </w:r>
      <w:r w:rsidRPr="00D27E05">
        <w:rPr>
          <w:lang w:val="en-GB"/>
        </w:rPr>
        <w:t>t awards gained by students</w:t>
      </w:r>
      <w:r>
        <w:rPr>
          <w:lang w:val="en-GB"/>
        </w:rPr>
        <w:t>.</w:t>
      </w:r>
    </w:p>
    <w:p w:rsidR="0065208C" w:rsidRDefault="0065208C" w:rsidP="00900D6F">
      <w:pPr>
        <w:jc w:val="both"/>
        <w:rPr>
          <w:lang w:val="en-GB"/>
        </w:rPr>
      </w:pPr>
      <w:r>
        <w:rPr>
          <w:lang w:val="en-GB"/>
        </w:rPr>
        <w:t xml:space="preserve">One of the </w:t>
      </w:r>
      <w:r w:rsidRPr="00D27E05">
        <w:rPr>
          <w:lang w:val="en-GB"/>
        </w:rPr>
        <w:t xml:space="preserve">most critical criteria is that of student individual engineering </w:t>
      </w:r>
      <w:r w:rsidR="00622D6A" w:rsidRPr="00D27E05">
        <w:rPr>
          <w:lang w:val="en-GB"/>
        </w:rPr>
        <w:t>project</w:t>
      </w:r>
      <w:r>
        <w:rPr>
          <w:lang w:val="en-GB"/>
        </w:rPr>
        <w:t>. To gain the s</w:t>
      </w:r>
      <w:r w:rsidR="00D34F69">
        <w:rPr>
          <w:lang w:val="en-GB"/>
        </w:rPr>
        <w:t>tatus of an accredited degree</w:t>
      </w:r>
      <w:r w:rsidR="003E27C1">
        <w:rPr>
          <w:lang w:val="en-GB"/>
        </w:rPr>
        <w:t>,</w:t>
      </w:r>
      <w:r w:rsidR="00D34F69">
        <w:rPr>
          <w:lang w:val="en-GB"/>
        </w:rPr>
        <w:t xml:space="preserve"> students must pass this at first </w:t>
      </w:r>
      <w:bookmarkStart w:id="1" w:name="_GoBack"/>
      <w:bookmarkEnd w:id="1"/>
      <w:r w:rsidR="00D34F69">
        <w:rPr>
          <w:lang w:val="en-GB"/>
        </w:rPr>
        <w:t xml:space="preserve">attempt. Accreditors inspect the process that leads to </w:t>
      </w:r>
      <w:r w:rsidR="00622D6A">
        <w:rPr>
          <w:lang w:val="en-GB"/>
        </w:rPr>
        <w:t>a student undertaking a project</w:t>
      </w:r>
      <w:r w:rsidR="00D34F69">
        <w:rPr>
          <w:lang w:val="en-GB"/>
        </w:rPr>
        <w:t>, the level of tutor support and the quality of the engineering project report and engineering practice demonstrated by the student.</w:t>
      </w:r>
    </w:p>
    <w:p w:rsidR="007F3493" w:rsidRDefault="00622D6A" w:rsidP="00900D6F">
      <w:pPr>
        <w:jc w:val="both"/>
        <w:rPr>
          <w:lang w:val="en-GB"/>
        </w:rPr>
      </w:pPr>
      <w:r>
        <w:rPr>
          <w:lang w:val="en-GB"/>
        </w:rPr>
        <w:t>During the accreditation visit m</w:t>
      </w:r>
      <w:r w:rsidR="007F3493">
        <w:rPr>
          <w:lang w:val="en-GB"/>
        </w:rPr>
        <w:t xml:space="preserve">eetings with both staff and students take place to </w:t>
      </w:r>
      <w:r w:rsidR="00DB6072">
        <w:rPr>
          <w:lang w:val="en-GB"/>
        </w:rPr>
        <w:t>gather</w:t>
      </w:r>
      <w:r w:rsidR="007F3493">
        <w:rPr>
          <w:lang w:val="en-GB"/>
        </w:rPr>
        <w:t xml:space="preserve"> real views and correlate these with quality standards in place at the Higher Education Institution. The academic credentials of all academic and </w:t>
      </w:r>
      <w:r w:rsidR="006A1107">
        <w:rPr>
          <w:lang w:val="en-GB"/>
        </w:rPr>
        <w:t>non-academic</w:t>
      </w:r>
      <w:r w:rsidR="00DC22D7">
        <w:rPr>
          <w:lang w:val="en-GB"/>
        </w:rPr>
        <w:t xml:space="preserve"> staff involve</w:t>
      </w:r>
      <w:r w:rsidR="007F3493">
        <w:rPr>
          <w:lang w:val="en-GB"/>
        </w:rPr>
        <w:t>d</w:t>
      </w:r>
      <w:r w:rsidR="00DC22D7">
        <w:rPr>
          <w:lang w:val="en-GB"/>
        </w:rPr>
        <w:t xml:space="preserve"> </w:t>
      </w:r>
      <w:r w:rsidR="007F3493">
        <w:rPr>
          <w:lang w:val="en-GB"/>
        </w:rPr>
        <w:t xml:space="preserve">in programme delivery are inspected </w:t>
      </w:r>
      <w:r w:rsidR="00DC22D7">
        <w:rPr>
          <w:lang w:val="en-GB"/>
        </w:rPr>
        <w:t xml:space="preserve">and </w:t>
      </w:r>
      <w:r w:rsidR="007F3493">
        <w:rPr>
          <w:lang w:val="en-GB"/>
        </w:rPr>
        <w:t xml:space="preserve">considerations are made in terms of the student support that </w:t>
      </w:r>
      <w:r w:rsidR="00DC22D7">
        <w:rPr>
          <w:lang w:val="en-GB"/>
        </w:rPr>
        <w:t>tutors</w:t>
      </w:r>
      <w:r w:rsidR="007F3493">
        <w:rPr>
          <w:lang w:val="en-GB"/>
        </w:rPr>
        <w:t xml:space="preserve"> provide. The resources and </w:t>
      </w:r>
      <w:r w:rsidR="006A1107">
        <w:rPr>
          <w:lang w:val="en-GB"/>
        </w:rPr>
        <w:t>facilities</w:t>
      </w:r>
      <w:r w:rsidR="007F3493">
        <w:rPr>
          <w:lang w:val="en-GB"/>
        </w:rPr>
        <w:t xml:space="preserve"> for the teaching of each engineering programme are also looked at with a view that these must support the aims of the programme. </w:t>
      </w:r>
    </w:p>
    <w:p w:rsidR="00F42760" w:rsidRDefault="00F42760" w:rsidP="00900D6F">
      <w:pPr>
        <w:jc w:val="both"/>
        <w:rPr>
          <w:lang w:val="en-GB"/>
        </w:rPr>
      </w:pPr>
      <w:r>
        <w:rPr>
          <w:lang w:val="en-GB"/>
        </w:rPr>
        <w:t xml:space="preserve">The visit is fully reported and action plans are drawn after the visit. The </w:t>
      </w:r>
      <w:r w:rsidR="000F01C7">
        <w:rPr>
          <w:lang w:val="en-GB"/>
        </w:rPr>
        <w:t>visit report identifies</w:t>
      </w:r>
      <w:r>
        <w:rPr>
          <w:lang w:val="en-GB"/>
        </w:rPr>
        <w:t xml:space="preserve"> good practice as well as </w:t>
      </w:r>
      <w:r w:rsidR="000F01C7">
        <w:rPr>
          <w:lang w:val="en-GB"/>
        </w:rPr>
        <w:t xml:space="preserve">the </w:t>
      </w:r>
      <w:r>
        <w:rPr>
          <w:lang w:val="en-GB"/>
        </w:rPr>
        <w:t xml:space="preserve">necessary changes to alignment with the quality frameworks.  </w:t>
      </w:r>
    </w:p>
    <w:p w:rsidR="008A143F" w:rsidRPr="00634445" w:rsidRDefault="008A143F" w:rsidP="00900D6F">
      <w:pPr>
        <w:jc w:val="both"/>
        <w:rPr>
          <w:lang w:val="en-GB"/>
        </w:rPr>
      </w:pPr>
    </w:p>
    <w:p w:rsidR="003D288B" w:rsidRPr="00634445" w:rsidRDefault="003D288B" w:rsidP="00900D6F">
      <w:pPr>
        <w:jc w:val="both"/>
        <w:rPr>
          <w:lang w:val="en-GB"/>
        </w:rPr>
      </w:pPr>
    </w:p>
    <w:p w:rsidR="003D288B" w:rsidRPr="00634445" w:rsidRDefault="00792027" w:rsidP="00634445">
      <w:pPr>
        <w:numPr>
          <w:ilvl w:val="0"/>
          <w:numId w:val="3"/>
        </w:numPr>
        <w:jc w:val="both"/>
        <w:rPr>
          <w:b/>
          <w:lang w:val="en-GB"/>
        </w:rPr>
      </w:pPr>
      <w:r>
        <w:rPr>
          <w:b/>
          <w:lang w:val="en-GB"/>
        </w:rPr>
        <w:t>Conclusion</w:t>
      </w:r>
    </w:p>
    <w:p w:rsidR="003D288B" w:rsidRPr="00603A09" w:rsidRDefault="003D288B" w:rsidP="00792027">
      <w:pPr>
        <w:jc w:val="both"/>
        <w:rPr>
          <w:lang w:val="en-GB"/>
        </w:rPr>
      </w:pPr>
    </w:p>
    <w:p w:rsidR="004321D6" w:rsidRDefault="004321D6" w:rsidP="004321D6">
      <w:pPr>
        <w:jc w:val="both"/>
        <w:rPr>
          <w:lang w:val="en-GB"/>
        </w:rPr>
      </w:pPr>
      <w:r>
        <w:rPr>
          <w:lang w:val="en-GB"/>
        </w:rPr>
        <w:t xml:space="preserve">Academic accreditation forms the first step in the promotion of student mobility. </w:t>
      </w:r>
      <w:r w:rsidR="00934F50">
        <w:rPr>
          <w:lang w:val="en-GB"/>
        </w:rPr>
        <w:t>The harmonising of the criteria between different national practices</w:t>
      </w:r>
      <w:r>
        <w:rPr>
          <w:lang w:val="en-GB"/>
        </w:rPr>
        <w:t xml:space="preserve"> and complete definition to include lifelong learning and doctoral qualifications will no doubt create further reassurances both to the public and those in engineering recruitment that the present of EUR-ACE as an education quality label is robust and does no not en</w:t>
      </w:r>
      <w:r w:rsidR="00EA6196">
        <w:rPr>
          <w:lang w:val="en-GB"/>
        </w:rPr>
        <w:t xml:space="preserve">danger </w:t>
      </w:r>
      <w:r>
        <w:rPr>
          <w:lang w:val="en-GB"/>
        </w:rPr>
        <w:t>educational diversity but reinforces the status of engineering educational pedagogy.</w:t>
      </w:r>
      <w:r w:rsidR="00934F50">
        <w:rPr>
          <w:lang w:val="en-GB"/>
        </w:rPr>
        <w:t xml:space="preserve"> This way we promote employability and share the values of a world class European </w:t>
      </w:r>
      <w:r w:rsidR="006A3C3B">
        <w:rPr>
          <w:lang w:val="en-GB"/>
        </w:rPr>
        <w:t>e</w:t>
      </w:r>
      <w:r w:rsidR="00934F50">
        <w:rPr>
          <w:lang w:val="en-GB"/>
        </w:rPr>
        <w:t>ducational system.</w:t>
      </w:r>
    </w:p>
    <w:p w:rsidR="003D288B" w:rsidRPr="00603A09" w:rsidRDefault="003D288B" w:rsidP="00900D6F">
      <w:pPr>
        <w:jc w:val="both"/>
        <w:rPr>
          <w:lang w:val="en-GB"/>
        </w:rPr>
      </w:pPr>
    </w:p>
    <w:p w:rsidR="00866E3D" w:rsidRPr="00603A09" w:rsidRDefault="00866E3D" w:rsidP="00900D6F">
      <w:pPr>
        <w:jc w:val="both"/>
        <w:rPr>
          <w:lang w:val="en-GB"/>
        </w:rPr>
      </w:pPr>
    </w:p>
    <w:p w:rsidR="00866E3D" w:rsidRPr="00634445" w:rsidRDefault="00866E3D" w:rsidP="00634445">
      <w:pPr>
        <w:numPr>
          <w:ilvl w:val="0"/>
          <w:numId w:val="3"/>
        </w:numPr>
        <w:jc w:val="both"/>
        <w:rPr>
          <w:b/>
          <w:lang w:val="en-GB"/>
        </w:rPr>
      </w:pPr>
      <w:r w:rsidRPr="00634445">
        <w:rPr>
          <w:b/>
          <w:lang w:val="en-GB"/>
        </w:rPr>
        <w:t>References</w:t>
      </w:r>
    </w:p>
    <w:p w:rsidR="00A55FCA" w:rsidRPr="00A55FCA" w:rsidRDefault="00A55FCA" w:rsidP="00A55FCA">
      <w:pPr>
        <w:rPr>
          <w:lang w:val="en-GB"/>
        </w:rPr>
      </w:pPr>
    </w:p>
    <w:p w:rsidR="005802B5" w:rsidRDefault="00606214" w:rsidP="005802B5">
      <w:pPr>
        <w:pStyle w:val="Bibliography"/>
        <w:rPr>
          <w:noProof/>
        </w:rPr>
      </w:pPr>
      <w:r>
        <w:rPr>
          <w:b/>
          <w:lang w:val="en-GB"/>
        </w:rPr>
        <w:fldChar w:fldCharType="begin"/>
      </w:r>
      <w:r>
        <w:rPr>
          <w:b/>
          <w:lang w:val="en-GB"/>
        </w:rPr>
        <w:instrText xml:space="preserve"> BIBLIOGRAPHY  \l 2057 </w:instrText>
      </w:r>
      <w:r>
        <w:rPr>
          <w:b/>
          <w:lang w:val="en-GB"/>
        </w:rPr>
        <w:fldChar w:fldCharType="separate"/>
      </w:r>
      <w:r w:rsidR="005802B5">
        <w:rPr>
          <w:b/>
          <w:bCs/>
          <w:noProof/>
        </w:rPr>
        <w:t>ACCI/BCA. 2002.</w:t>
      </w:r>
      <w:r w:rsidR="005802B5">
        <w:rPr>
          <w:noProof/>
        </w:rPr>
        <w:t xml:space="preserve"> </w:t>
      </w:r>
      <w:r w:rsidR="005802B5">
        <w:rPr>
          <w:i/>
          <w:iCs/>
          <w:noProof/>
        </w:rPr>
        <w:t xml:space="preserve">Employability Skills for the Future. </w:t>
      </w:r>
      <w:r w:rsidR="005802B5">
        <w:rPr>
          <w:noProof/>
        </w:rPr>
        <w:t>Department of Education, Science and Training - Training Reform Section. Canberra : Australian Chamber of Commerce and Industry &amp; the Business Council Australia, 2002.</w:t>
      </w:r>
    </w:p>
    <w:p w:rsidR="005802B5" w:rsidRDefault="005802B5" w:rsidP="005802B5">
      <w:pPr>
        <w:pStyle w:val="Bibliography"/>
        <w:rPr>
          <w:noProof/>
        </w:rPr>
      </w:pPr>
      <w:r>
        <w:rPr>
          <w:b/>
          <w:bCs/>
          <w:noProof/>
        </w:rPr>
        <w:t>Browne, John. 2010.</w:t>
      </w:r>
      <w:r>
        <w:rPr>
          <w:noProof/>
        </w:rPr>
        <w:t xml:space="preserve"> </w:t>
      </w:r>
      <w:r>
        <w:rPr>
          <w:i/>
          <w:iCs/>
          <w:noProof/>
        </w:rPr>
        <w:t xml:space="preserve">Securing a Sustainable Future for Higher Education. </w:t>
      </w:r>
      <w:r>
        <w:rPr>
          <w:noProof/>
        </w:rPr>
        <w:t>London : The Central Office of Information, 2010. p. 64.</w:t>
      </w:r>
    </w:p>
    <w:p w:rsidR="005802B5" w:rsidRDefault="005802B5" w:rsidP="005802B5">
      <w:pPr>
        <w:pStyle w:val="Bibliography"/>
        <w:rPr>
          <w:noProof/>
        </w:rPr>
      </w:pPr>
      <w:r>
        <w:rPr>
          <w:b/>
          <w:bCs/>
          <w:noProof/>
        </w:rPr>
        <w:t>Danish Technological Institute. 2008.</w:t>
      </w:r>
      <w:r>
        <w:rPr>
          <w:noProof/>
        </w:rPr>
        <w:t xml:space="preserve"> </w:t>
      </w:r>
      <w:r>
        <w:rPr>
          <w:i/>
          <w:iCs/>
          <w:noProof/>
        </w:rPr>
        <w:t xml:space="preserve">Job Mobility in the European Union: Optimisins its social and Economic Benefits. </w:t>
      </w:r>
      <w:r>
        <w:rPr>
          <w:noProof/>
        </w:rPr>
        <w:t>s.l. : Danish technological Institute, 2008. p. 158.</w:t>
      </w:r>
    </w:p>
    <w:p w:rsidR="005802B5" w:rsidRDefault="005802B5" w:rsidP="005802B5">
      <w:pPr>
        <w:pStyle w:val="Bibliography"/>
        <w:rPr>
          <w:noProof/>
        </w:rPr>
      </w:pPr>
      <w:r>
        <w:rPr>
          <w:b/>
          <w:bCs/>
          <w:noProof/>
        </w:rPr>
        <w:t>Dearing, Sir Roy. 1997.</w:t>
      </w:r>
      <w:r>
        <w:rPr>
          <w:noProof/>
        </w:rPr>
        <w:t xml:space="preserve"> </w:t>
      </w:r>
      <w:r>
        <w:rPr>
          <w:i/>
          <w:iCs/>
          <w:noProof/>
        </w:rPr>
        <w:t xml:space="preserve">Higher Education in the Learning Society: Report of the National Committee of Inquiry into Higher Education. </w:t>
      </w:r>
      <w:r>
        <w:rPr>
          <w:noProof/>
        </w:rPr>
        <w:t>London : Stationery Office, 1997.</w:t>
      </w:r>
    </w:p>
    <w:p w:rsidR="005802B5" w:rsidRDefault="005802B5" w:rsidP="005802B5">
      <w:pPr>
        <w:pStyle w:val="Bibliography"/>
        <w:rPr>
          <w:noProof/>
        </w:rPr>
      </w:pPr>
      <w:r>
        <w:rPr>
          <w:b/>
          <w:bCs/>
          <w:noProof/>
        </w:rPr>
        <w:t>Engineering Council. 2011.</w:t>
      </w:r>
      <w:r>
        <w:rPr>
          <w:noProof/>
        </w:rPr>
        <w:t xml:space="preserve"> Engineering council main page. </w:t>
      </w:r>
      <w:r>
        <w:rPr>
          <w:i/>
          <w:iCs/>
          <w:noProof/>
        </w:rPr>
        <w:t xml:space="preserve">Engineering council. </w:t>
      </w:r>
      <w:r>
        <w:rPr>
          <w:noProof/>
        </w:rPr>
        <w:t>[Online] 2011. [Cited: 22 07 2012.] http://www.engc.org.uk.</w:t>
      </w:r>
    </w:p>
    <w:p w:rsidR="005802B5" w:rsidRDefault="005802B5" w:rsidP="005802B5">
      <w:pPr>
        <w:pStyle w:val="Bibliography"/>
        <w:rPr>
          <w:noProof/>
        </w:rPr>
      </w:pPr>
      <w:r>
        <w:rPr>
          <w:b/>
          <w:bCs/>
          <w:noProof/>
        </w:rPr>
        <w:t>—. 2010.</w:t>
      </w:r>
      <w:r>
        <w:rPr>
          <w:noProof/>
        </w:rPr>
        <w:t xml:space="preserve"> </w:t>
      </w:r>
      <w:r>
        <w:rPr>
          <w:i/>
          <w:iCs/>
          <w:noProof/>
        </w:rPr>
        <w:t xml:space="preserve">UK Standard for Professional Engineering Competence. </w:t>
      </w:r>
      <w:r>
        <w:rPr>
          <w:noProof/>
        </w:rPr>
        <w:t>London : Engineering Council, 2010. p. 32. 978-1-898126-67-6.</w:t>
      </w:r>
    </w:p>
    <w:p w:rsidR="005802B5" w:rsidRDefault="005802B5" w:rsidP="005802B5">
      <w:pPr>
        <w:pStyle w:val="Bibliography"/>
        <w:rPr>
          <w:noProof/>
        </w:rPr>
      </w:pPr>
      <w:r>
        <w:rPr>
          <w:b/>
          <w:bCs/>
          <w:noProof/>
        </w:rPr>
        <w:t>Mayer, E. 1992.</w:t>
      </w:r>
      <w:r>
        <w:rPr>
          <w:noProof/>
        </w:rPr>
        <w:t xml:space="preserve"> </w:t>
      </w:r>
      <w:r>
        <w:rPr>
          <w:i/>
          <w:iCs/>
          <w:noProof/>
        </w:rPr>
        <w:t xml:space="preserve">Putting General Education to Work: The Key Competencies Report. </w:t>
      </w:r>
      <w:r>
        <w:rPr>
          <w:noProof/>
        </w:rPr>
        <w:t>Educational Council and Ministers for Vocational Education, Employment and Training. Canberra : s.n., 1992.</w:t>
      </w:r>
    </w:p>
    <w:p w:rsidR="005802B5" w:rsidRDefault="005802B5" w:rsidP="005802B5">
      <w:pPr>
        <w:pStyle w:val="Bibliography"/>
        <w:rPr>
          <w:noProof/>
        </w:rPr>
      </w:pPr>
      <w:r>
        <w:rPr>
          <w:b/>
          <w:bCs/>
          <w:noProof/>
        </w:rPr>
        <w:t>The Higher Education Academy. 2010.</w:t>
      </w:r>
      <w:r>
        <w:rPr>
          <w:noProof/>
        </w:rPr>
        <w:t xml:space="preserve"> Personal Development Planning. </w:t>
      </w:r>
      <w:r>
        <w:rPr>
          <w:i/>
          <w:iCs/>
          <w:noProof/>
        </w:rPr>
        <w:t xml:space="preserve">The Higher Education Academy. </w:t>
      </w:r>
      <w:r>
        <w:rPr>
          <w:noProof/>
        </w:rPr>
        <w:t>[Online] The Higher Education Academy, 2010. [Cited: 01 December 2010.] http://www.heacademy.ac.uk/ourwork/teachingandlearning/pdp.</w:t>
      </w:r>
    </w:p>
    <w:p w:rsidR="005802B5" w:rsidRDefault="005802B5" w:rsidP="005802B5">
      <w:pPr>
        <w:pStyle w:val="Bibliography"/>
        <w:rPr>
          <w:noProof/>
        </w:rPr>
      </w:pPr>
      <w:r>
        <w:rPr>
          <w:b/>
          <w:bCs/>
          <w:noProof/>
        </w:rPr>
        <w:t>The Institution of Engineering and Technology. 2010.</w:t>
      </w:r>
      <w:r>
        <w:rPr>
          <w:noProof/>
        </w:rPr>
        <w:t xml:space="preserve"> </w:t>
      </w:r>
      <w:r>
        <w:rPr>
          <w:i/>
          <w:iCs/>
          <w:noProof/>
        </w:rPr>
        <w:t xml:space="preserve">Skills and Demand in Industry. </w:t>
      </w:r>
      <w:r>
        <w:rPr>
          <w:noProof/>
        </w:rPr>
        <w:t>London : The Institution of Engineering and Technology, 2010. p. 23.</w:t>
      </w:r>
    </w:p>
    <w:p w:rsidR="005802B5" w:rsidRDefault="005802B5" w:rsidP="005802B5">
      <w:pPr>
        <w:pStyle w:val="Bibliography"/>
        <w:rPr>
          <w:noProof/>
        </w:rPr>
      </w:pPr>
      <w:r>
        <w:rPr>
          <w:b/>
          <w:bCs/>
          <w:noProof/>
        </w:rPr>
        <w:t>UK Commission for Employment and Skills. 2009.</w:t>
      </w:r>
      <w:r>
        <w:rPr>
          <w:noProof/>
        </w:rPr>
        <w:t xml:space="preserve"> </w:t>
      </w:r>
      <w:r>
        <w:rPr>
          <w:i/>
          <w:iCs/>
          <w:noProof/>
        </w:rPr>
        <w:t xml:space="preserve">The Employability Challenge. </w:t>
      </w:r>
      <w:r>
        <w:rPr>
          <w:noProof/>
        </w:rPr>
        <w:t>London : UKCES, 2009. p. 76, key recommendation.</w:t>
      </w:r>
    </w:p>
    <w:p w:rsidR="005802B5" w:rsidRDefault="005802B5" w:rsidP="005802B5">
      <w:pPr>
        <w:pStyle w:val="Bibliography"/>
        <w:rPr>
          <w:noProof/>
        </w:rPr>
      </w:pPr>
      <w:r>
        <w:rPr>
          <w:b/>
          <w:bCs/>
          <w:noProof/>
        </w:rPr>
        <w:t>Yorke, Mantz and Knight, Peter T. 2006.</w:t>
      </w:r>
      <w:r>
        <w:rPr>
          <w:noProof/>
        </w:rPr>
        <w:t xml:space="preserve"> </w:t>
      </w:r>
      <w:r>
        <w:rPr>
          <w:i/>
          <w:iCs/>
          <w:noProof/>
        </w:rPr>
        <w:t xml:space="preserve">Embeding Employability into the Curriculum. </w:t>
      </w:r>
      <w:r>
        <w:rPr>
          <w:noProof/>
        </w:rPr>
        <w:t>The Higher Education Academy. York : The Higher Education Academy, 2006. p. 32. 1-905788-00-2.</w:t>
      </w:r>
    </w:p>
    <w:p w:rsidR="005802B5" w:rsidRDefault="005802B5" w:rsidP="005802B5">
      <w:pPr>
        <w:pStyle w:val="Bibliography"/>
        <w:rPr>
          <w:noProof/>
        </w:rPr>
      </w:pPr>
      <w:r>
        <w:rPr>
          <w:b/>
          <w:bCs/>
          <w:noProof/>
        </w:rPr>
        <w:t>Yorke, Mantz and Knight, Peter T. 2003.</w:t>
      </w:r>
      <w:r>
        <w:rPr>
          <w:noProof/>
        </w:rPr>
        <w:t xml:space="preserve"> </w:t>
      </w:r>
      <w:r>
        <w:rPr>
          <w:i/>
          <w:iCs/>
          <w:noProof/>
        </w:rPr>
        <w:t xml:space="preserve">Employability and Good Learning in Higher Education. </w:t>
      </w:r>
      <w:r>
        <w:rPr>
          <w:noProof/>
        </w:rPr>
        <w:t>Liverpool : Carfax Publishing, 2003. p. 14.</w:t>
      </w:r>
    </w:p>
    <w:p w:rsidR="005802B5" w:rsidRDefault="005802B5" w:rsidP="005802B5">
      <w:pPr>
        <w:pStyle w:val="Bibliography"/>
        <w:rPr>
          <w:noProof/>
        </w:rPr>
      </w:pPr>
      <w:r>
        <w:rPr>
          <w:b/>
          <w:bCs/>
          <w:noProof/>
        </w:rPr>
        <w:t>Yorke, Mantz. 2006.</w:t>
      </w:r>
      <w:r>
        <w:rPr>
          <w:noProof/>
        </w:rPr>
        <w:t xml:space="preserve"> </w:t>
      </w:r>
      <w:r>
        <w:rPr>
          <w:i/>
          <w:iCs/>
          <w:noProof/>
        </w:rPr>
        <w:t xml:space="preserve">Employability in Higher Education: what it is and what it is not. </w:t>
      </w:r>
      <w:r>
        <w:rPr>
          <w:noProof/>
        </w:rPr>
        <w:t>The Higher Educaton Academy. York : The Higher Educaton Academy, 2006. p. 24. 1-905788-01-0.</w:t>
      </w:r>
    </w:p>
    <w:p w:rsidR="0077109F" w:rsidRPr="00BF6C86" w:rsidRDefault="00606214" w:rsidP="005802B5">
      <w:pPr>
        <w:rPr>
          <w:lang w:val="en-GB"/>
        </w:rPr>
      </w:pPr>
      <w:r>
        <w:rPr>
          <w:b/>
          <w:lang w:val="en-GB"/>
        </w:rPr>
        <w:fldChar w:fldCharType="end"/>
      </w:r>
    </w:p>
    <w:sectPr w:rsidR="0077109F" w:rsidRPr="00BF6C86" w:rsidSect="00D818CE">
      <w:footerReference w:type="default" r:id="rId19"/>
      <w:pgSz w:w="11907" w:h="16839" w:code="9"/>
      <w:pgMar w:top="1440" w:right="1134" w:bottom="1440"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66A" w:rsidRDefault="0046666A" w:rsidP="003409C0">
      <w:r>
        <w:separator/>
      </w:r>
    </w:p>
  </w:endnote>
  <w:endnote w:type="continuationSeparator" w:id="0">
    <w:p w:rsidR="0046666A" w:rsidRDefault="0046666A" w:rsidP="00340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9C0" w:rsidRPr="00634445" w:rsidRDefault="003409C0">
    <w:pPr>
      <w:pStyle w:val="Footer"/>
      <w:jc w:val="center"/>
      <w:rPr>
        <w:sz w:val="22"/>
      </w:rPr>
    </w:pPr>
    <w:r w:rsidRPr="00634445">
      <w:rPr>
        <w:sz w:val="22"/>
      </w:rPr>
      <w:fldChar w:fldCharType="begin"/>
    </w:r>
    <w:r w:rsidRPr="00634445">
      <w:rPr>
        <w:sz w:val="22"/>
      </w:rPr>
      <w:instrText xml:space="preserve"> PAGE   \* MERGEFORMAT </w:instrText>
    </w:r>
    <w:r w:rsidRPr="00634445">
      <w:rPr>
        <w:sz w:val="22"/>
      </w:rPr>
      <w:fldChar w:fldCharType="separate"/>
    </w:r>
    <w:r w:rsidR="0046666A">
      <w:rPr>
        <w:noProof/>
        <w:sz w:val="22"/>
      </w:rPr>
      <w:t>1</w:t>
    </w:r>
    <w:r w:rsidRPr="00634445">
      <w:rPr>
        <w:noProof/>
        <w:sz w:val="22"/>
      </w:rPr>
      <w:fldChar w:fldCharType="end"/>
    </w:r>
  </w:p>
  <w:p w:rsidR="003409C0" w:rsidRDefault="003409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66A" w:rsidRDefault="0046666A" w:rsidP="003409C0">
      <w:r>
        <w:separator/>
      </w:r>
    </w:p>
  </w:footnote>
  <w:footnote w:type="continuationSeparator" w:id="0">
    <w:p w:rsidR="0046666A" w:rsidRDefault="0046666A" w:rsidP="003409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B203C"/>
    <w:multiLevelType w:val="hybridMultilevel"/>
    <w:tmpl w:val="23002962"/>
    <w:lvl w:ilvl="0" w:tplc="E52A1A08">
      <w:start w:val="6"/>
      <w:numFmt w:val="lowerLetter"/>
      <w:lvlText w:val="(%1)"/>
      <w:lvlJc w:val="left"/>
      <w:pPr>
        <w:tabs>
          <w:tab w:val="num" w:pos="349"/>
        </w:tabs>
        <w:ind w:left="349" w:hanging="360"/>
      </w:pPr>
      <w:rPr>
        <w:rFonts w:hint="default"/>
      </w:rPr>
    </w:lvl>
    <w:lvl w:ilvl="1" w:tplc="08090019" w:tentative="1">
      <w:start w:val="1"/>
      <w:numFmt w:val="lowerLetter"/>
      <w:lvlText w:val="%2."/>
      <w:lvlJc w:val="left"/>
      <w:pPr>
        <w:tabs>
          <w:tab w:val="num" w:pos="1069"/>
        </w:tabs>
        <w:ind w:left="1069" w:hanging="360"/>
      </w:pPr>
    </w:lvl>
    <w:lvl w:ilvl="2" w:tplc="0809001B" w:tentative="1">
      <w:start w:val="1"/>
      <w:numFmt w:val="lowerRoman"/>
      <w:lvlText w:val="%3."/>
      <w:lvlJc w:val="right"/>
      <w:pPr>
        <w:tabs>
          <w:tab w:val="num" w:pos="1789"/>
        </w:tabs>
        <w:ind w:left="1789" w:hanging="180"/>
      </w:pPr>
    </w:lvl>
    <w:lvl w:ilvl="3" w:tplc="0809000F" w:tentative="1">
      <w:start w:val="1"/>
      <w:numFmt w:val="decimal"/>
      <w:lvlText w:val="%4."/>
      <w:lvlJc w:val="left"/>
      <w:pPr>
        <w:tabs>
          <w:tab w:val="num" w:pos="2509"/>
        </w:tabs>
        <w:ind w:left="2509" w:hanging="360"/>
      </w:pPr>
    </w:lvl>
    <w:lvl w:ilvl="4" w:tplc="08090019" w:tentative="1">
      <w:start w:val="1"/>
      <w:numFmt w:val="lowerLetter"/>
      <w:lvlText w:val="%5."/>
      <w:lvlJc w:val="left"/>
      <w:pPr>
        <w:tabs>
          <w:tab w:val="num" w:pos="3229"/>
        </w:tabs>
        <w:ind w:left="3229" w:hanging="360"/>
      </w:pPr>
    </w:lvl>
    <w:lvl w:ilvl="5" w:tplc="0809001B" w:tentative="1">
      <w:start w:val="1"/>
      <w:numFmt w:val="lowerRoman"/>
      <w:lvlText w:val="%6."/>
      <w:lvlJc w:val="right"/>
      <w:pPr>
        <w:tabs>
          <w:tab w:val="num" w:pos="3949"/>
        </w:tabs>
        <w:ind w:left="3949" w:hanging="180"/>
      </w:pPr>
    </w:lvl>
    <w:lvl w:ilvl="6" w:tplc="0809000F" w:tentative="1">
      <w:start w:val="1"/>
      <w:numFmt w:val="decimal"/>
      <w:lvlText w:val="%7."/>
      <w:lvlJc w:val="left"/>
      <w:pPr>
        <w:tabs>
          <w:tab w:val="num" w:pos="4669"/>
        </w:tabs>
        <w:ind w:left="4669" w:hanging="360"/>
      </w:pPr>
    </w:lvl>
    <w:lvl w:ilvl="7" w:tplc="08090019" w:tentative="1">
      <w:start w:val="1"/>
      <w:numFmt w:val="lowerLetter"/>
      <w:lvlText w:val="%8."/>
      <w:lvlJc w:val="left"/>
      <w:pPr>
        <w:tabs>
          <w:tab w:val="num" w:pos="5389"/>
        </w:tabs>
        <w:ind w:left="5389" w:hanging="360"/>
      </w:pPr>
    </w:lvl>
    <w:lvl w:ilvl="8" w:tplc="0809001B" w:tentative="1">
      <w:start w:val="1"/>
      <w:numFmt w:val="lowerRoman"/>
      <w:lvlText w:val="%9."/>
      <w:lvlJc w:val="right"/>
      <w:pPr>
        <w:tabs>
          <w:tab w:val="num" w:pos="6109"/>
        </w:tabs>
        <w:ind w:left="6109" w:hanging="180"/>
      </w:pPr>
    </w:lvl>
  </w:abstractNum>
  <w:abstractNum w:abstractNumId="1">
    <w:nsid w:val="39FF3591"/>
    <w:multiLevelType w:val="hybridMultilevel"/>
    <w:tmpl w:val="3AF08A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BA84E9F"/>
    <w:multiLevelType w:val="hybridMultilevel"/>
    <w:tmpl w:val="F86AB464"/>
    <w:lvl w:ilvl="0" w:tplc="99D4E99E">
      <w:start w:val="1"/>
      <w:numFmt w:val="lowerLetter"/>
      <w:lvlText w:val="(%1)"/>
      <w:lvlJc w:val="left"/>
      <w:pPr>
        <w:tabs>
          <w:tab w:val="num" w:pos="765"/>
        </w:tabs>
        <w:ind w:left="765" w:hanging="4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3CAA0819"/>
    <w:multiLevelType w:val="hybridMultilevel"/>
    <w:tmpl w:val="ACEA07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BDA4201"/>
    <w:multiLevelType w:val="hybridMultilevel"/>
    <w:tmpl w:val="2226830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59F"/>
    <w:rsid w:val="000029BA"/>
    <w:rsid w:val="00023FEA"/>
    <w:rsid w:val="00032547"/>
    <w:rsid w:val="000358F4"/>
    <w:rsid w:val="00040B96"/>
    <w:rsid w:val="00040E3E"/>
    <w:rsid w:val="00052EA2"/>
    <w:rsid w:val="00057734"/>
    <w:rsid w:val="00070426"/>
    <w:rsid w:val="00074376"/>
    <w:rsid w:val="00095371"/>
    <w:rsid w:val="000A3439"/>
    <w:rsid w:val="000B6DC4"/>
    <w:rsid w:val="000C3A59"/>
    <w:rsid w:val="000E6DC4"/>
    <w:rsid w:val="000E7A31"/>
    <w:rsid w:val="000F01C7"/>
    <w:rsid w:val="000F5E5F"/>
    <w:rsid w:val="001235C5"/>
    <w:rsid w:val="00132931"/>
    <w:rsid w:val="0014273A"/>
    <w:rsid w:val="00142C80"/>
    <w:rsid w:val="0017752F"/>
    <w:rsid w:val="00180DC3"/>
    <w:rsid w:val="00191F0A"/>
    <w:rsid w:val="00194838"/>
    <w:rsid w:val="001A2177"/>
    <w:rsid w:val="001C20A2"/>
    <w:rsid w:val="001D134E"/>
    <w:rsid w:val="001F1DBA"/>
    <w:rsid w:val="00207EBD"/>
    <w:rsid w:val="002225A0"/>
    <w:rsid w:val="002241C2"/>
    <w:rsid w:val="00230C14"/>
    <w:rsid w:val="002367E8"/>
    <w:rsid w:val="00241B99"/>
    <w:rsid w:val="00243A14"/>
    <w:rsid w:val="00262524"/>
    <w:rsid w:val="0026406A"/>
    <w:rsid w:val="002903B0"/>
    <w:rsid w:val="00293150"/>
    <w:rsid w:val="002B59FC"/>
    <w:rsid w:val="002C0DC7"/>
    <w:rsid w:val="002D3729"/>
    <w:rsid w:val="002E3DE4"/>
    <w:rsid w:val="002E4FAA"/>
    <w:rsid w:val="00314A0A"/>
    <w:rsid w:val="00316AD9"/>
    <w:rsid w:val="00330347"/>
    <w:rsid w:val="00331AC8"/>
    <w:rsid w:val="00337160"/>
    <w:rsid w:val="003409C0"/>
    <w:rsid w:val="0034222A"/>
    <w:rsid w:val="00356B04"/>
    <w:rsid w:val="0036231C"/>
    <w:rsid w:val="00372E97"/>
    <w:rsid w:val="00396893"/>
    <w:rsid w:val="003969A3"/>
    <w:rsid w:val="003B6B1A"/>
    <w:rsid w:val="003D1FA4"/>
    <w:rsid w:val="003D288B"/>
    <w:rsid w:val="003E1CAC"/>
    <w:rsid w:val="003E27C1"/>
    <w:rsid w:val="00400E7F"/>
    <w:rsid w:val="004123C5"/>
    <w:rsid w:val="004321D6"/>
    <w:rsid w:val="00443E3A"/>
    <w:rsid w:val="0044685B"/>
    <w:rsid w:val="0045598A"/>
    <w:rsid w:val="0046666A"/>
    <w:rsid w:val="00470190"/>
    <w:rsid w:val="00474516"/>
    <w:rsid w:val="00475DCC"/>
    <w:rsid w:val="004A0613"/>
    <w:rsid w:val="004B5628"/>
    <w:rsid w:val="004C330E"/>
    <w:rsid w:val="00514B16"/>
    <w:rsid w:val="00516051"/>
    <w:rsid w:val="005319FE"/>
    <w:rsid w:val="005802B5"/>
    <w:rsid w:val="00597EC5"/>
    <w:rsid w:val="005C4FFE"/>
    <w:rsid w:val="005D422F"/>
    <w:rsid w:val="005D5571"/>
    <w:rsid w:val="005E284B"/>
    <w:rsid w:val="005F029E"/>
    <w:rsid w:val="00603A09"/>
    <w:rsid w:val="00606214"/>
    <w:rsid w:val="0061061C"/>
    <w:rsid w:val="00620C0A"/>
    <w:rsid w:val="00621EC8"/>
    <w:rsid w:val="00622D6A"/>
    <w:rsid w:val="00630C5B"/>
    <w:rsid w:val="00634445"/>
    <w:rsid w:val="0063540C"/>
    <w:rsid w:val="0065208C"/>
    <w:rsid w:val="0065696A"/>
    <w:rsid w:val="006573DE"/>
    <w:rsid w:val="00657B25"/>
    <w:rsid w:val="0067478E"/>
    <w:rsid w:val="006855FF"/>
    <w:rsid w:val="00696BA6"/>
    <w:rsid w:val="006A1107"/>
    <w:rsid w:val="006A3C3B"/>
    <w:rsid w:val="006B5C54"/>
    <w:rsid w:val="006D121D"/>
    <w:rsid w:val="006D34DF"/>
    <w:rsid w:val="006D516F"/>
    <w:rsid w:val="006D51EF"/>
    <w:rsid w:val="00701BF9"/>
    <w:rsid w:val="00726C07"/>
    <w:rsid w:val="007319E7"/>
    <w:rsid w:val="00732612"/>
    <w:rsid w:val="00732A1F"/>
    <w:rsid w:val="00741617"/>
    <w:rsid w:val="007640C9"/>
    <w:rsid w:val="0077109F"/>
    <w:rsid w:val="00785F49"/>
    <w:rsid w:val="007867F7"/>
    <w:rsid w:val="007915B2"/>
    <w:rsid w:val="00792027"/>
    <w:rsid w:val="007A569E"/>
    <w:rsid w:val="007B5A0B"/>
    <w:rsid w:val="007B6A6D"/>
    <w:rsid w:val="007C0459"/>
    <w:rsid w:val="007C08B9"/>
    <w:rsid w:val="007C17A8"/>
    <w:rsid w:val="007C2731"/>
    <w:rsid w:val="007D1602"/>
    <w:rsid w:val="007D3670"/>
    <w:rsid w:val="007D5392"/>
    <w:rsid w:val="007E3480"/>
    <w:rsid w:val="007E6B43"/>
    <w:rsid w:val="007F3493"/>
    <w:rsid w:val="00802279"/>
    <w:rsid w:val="00804018"/>
    <w:rsid w:val="00804396"/>
    <w:rsid w:val="00815164"/>
    <w:rsid w:val="008440AB"/>
    <w:rsid w:val="00855D6C"/>
    <w:rsid w:val="0086406D"/>
    <w:rsid w:val="00866E3D"/>
    <w:rsid w:val="008802E3"/>
    <w:rsid w:val="0089138B"/>
    <w:rsid w:val="008A143F"/>
    <w:rsid w:val="008C2F6F"/>
    <w:rsid w:val="008C4F56"/>
    <w:rsid w:val="008D3D60"/>
    <w:rsid w:val="00900D6F"/>
    <w:rsid w:val="00904AB3"/>
    <w:rsid w:val="009124DF"/>
    <w:rsid w:val="009273C0"/>
    <w:rsid w:val="00934F50"/>
    <w:rsid w:val="0095385E"/>
    <w:rsid w:val="009636D9"/>
    <w:rsid w:val="009737CB"/>
    <w:rsid w:val="009774EB"/>
    <w:rsid w:val="009B539C"/>
    <w:rsid w:val="009B578B"/>
    <w:rsid w:val="009D3698"/>
    <w:rsid w:val="009E2F8A"/>
    <w:rsid w:val="009F53B3"/>
    <w:rsid w:val="00A258CC"/>
    <w:rsid w:val="00A55FCA"/>
    <w:rsid w:val="00A7372C"/>
    <w:rsid w:val="00AA7D24"/>
    <w:rsid w:val="00AB066F"/>
    <w:rsid w:val="00AF3D32"/>
    <w:rsid w:val="00B16AEF"/>
    <w:rsid w:val="00B2335A"/>
    <w:rsid w:val="00B27B37"/>
    <w:rsid w:val="00B452CF"/>
    <w:rsid w:val="00B53487"/>
    <w:rsid w:val="00B53515"/>
    <w:rsid w:val="00B567A8"/>
    <w:rsid w:val="00B579EF"/>
    <w:rsid w:val="00B6570B"/>
    <w:rsid w:val="00B65926"/>
    <w:rsid w:val="00B66A16"/>
    <w:rsid w:val="00BB1EB8"/>
    <w:rsid w:val="00BD4069"/>
    <w:rsid w:val="00BD419C"/>
    <w:rsid w:val="00BF1F9B"/>
    <w:rsid w:val="00BF2487"/>
    <w:rsid w:val="00BF640C"/>
    <w:rsid w:val="00BF6C86"/>
    <w:rsid w:val="00C320FF"/>
    <w:rsid w:val="00C66A07"/>
    <w:rsid w:val="00C77EE4"/>
    <w:rsid w:val="00C92D29"/>
    <w:rsid w:val="00C96DBC"/>
    <w:rsid w:val="00CA001E"/>
    <w:rsid w:val="00CE4F2B"/>
    <w:rsid w:val="00CF5087"/>
    <w:rsid w:val="00D2298D"/>
    <w:rsid w:val="00D23BBF"/>
    <w:rsid w:val="00D27E05"/>
    <w:rsid w:val="00D31A37"/>
    <w:rsid w:val="00D34F69"/>
    <w:rsid w:val="00D55B2D"/>
    <w:rsid w:val="00D63DDF"/>
    <w:rsid w:val="00D678CC"/>
    <w:rsid w:val="00D818CE"/>
    <w:rsid w:val="00DA26C8"/>
    <w:rsid w:val="00DB53BA"/>
    <w:rsid w:val="00DB6072"/>
    <w:rsid w:val="00DC22D7"/>
    <w:rsid w:val="00DC4918"/>
    <w:rsid w:val="00DD3827"/>
    <w:rsid w:val="00DE7E95"/>
    <w:rsid w:val="00DF4003"/>
    <w:rsid w:val="00E10F9E"/>
    <w:rsid w:val="00E11E87"/>
    <w:rsid w:val="00E20421"/>
    <w:rsid w:val="00E23D73"/>
    <w:rsid w:val="00E27077"/>
    <w:rsid w:val="00E27806"/>
    <w:rsid w:val="00E33357"/>
    <w:rsid w:val="00E37914"/>
    <w:rsid w:val="00E61BA0"/>
    <w:rsid w:val="00EA6196"/>
    <w:rsid w:val="00ED7E67"/>
    <w:rsid w:val="00EF2EF9"/>
    <w:rsid w:val="00F0286F"/>
    <w:rsid w:val="00F13601"/>
    <w:rsid w:val="00F17AB8"/>
    <w:rsid w:val="00F17AC4"/>
    <w:rsid w:val="00F25FB8"/>
    <w:rsid w:val="00F42760"/>
    <w:rsid w:val="00F670BE"/>
    <w:rsid w:val="00F7669A"/>
    <w:rsid w:val="00F8559F"/>
    <w:rsid w:val="00FB0434"/>
    <w:rsid w:val="00FB5565"/>
    <w:rsid w:val="00FC642D"/>
    <w:rsid w:val="00FC7523"/>
    <w:rsid w:val="00FE34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iPriority="35"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A55FC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6C86"/>
    <w:rPr>
      <w:color w:val="0000FF"/>
      <w:u w:val="single"/>
    </w:rPr>
  </w:style>
  <w:style w:type="paragraph" w:styleId="Header">
    <w:name w:val="header"/>
    <w:basedOn w:val="Normal"/>
    <w:link w:val="HeaderChar"/>
    <w:rsid w:val="003409C0"/>
    <w:pPr>
      <w:tabs>
        <w:tab w:val="center" w:pos="4513"/>
        <w:tab w:val="right" w:pos="9026"/>
      </w:tabs>
    </w:pPr>
  </w:style>
  <w:style w:type="character" w:customStyle="1" w:styleId="HeaderChar">
    <w:name w:val="Header Char"/>
    <w:link w:val="Header"/>
    <w:rsid w:val="003409C0"/>
    <w:rPr>
      <w:sz w:val="24"/>
      <w:szCs w:val="24"/>
      <w:lang w:val="en-US" w:eastAsia="en-US"/>
    </w:rPr>
  </w:style>
  <w:style w:type="paragraph" w:styleId="Footer">
    <w:name w:val="footer"/>
    <w:basedOn w:val="Normal"/>
    <w:link w:val="FooterChar"/>
    <w:uiPriority w:val="99"/>
    <w:rsid w:val="003409C0"/>
    <w:pPr>
      <w:tabs>
        <w:tab w:val="center" w:pos="4513"/>
        <w:tab w:val="right" w:pos="9026"/>
      </w:tabs>
    </w:pPr>
  </w:style>
  <w:style w:type="character" w:customStyle="1" w:styleId="FooterChar">
    <w:name w:val="Footer Char"/>
    <w:link w:val="Footer"/>
    <w:uiPriority w:val="99"/>
    <w:rsid w:val="003409C0"/>
    <w:rPr>
      <w:sz w:val="24"/>
      <w:szCs w:val="24"/>
      <w:lang w:val="en-US" w:eastAsia="en-US"/>
    </w:rPr>
  </w:style>
  <w:style w:type="paragraph" w:styleId="BalloonText">
    <w:name w:val="Balloon Text"/>
    <w:basedOn w:val="Normal"/>
    <w:link w:val="BalloonTextChar"/>
    <w:rsid w:val="007A569E"/>
    <w:rPr>
      <w:rFonts w:ascii="Tahoma" w:hAnsi="Tahoma" w:cs="Tahoma"/>
      <w:sz w:val="16"/>
      <w:szCs w:val="16"/>
    </w:rPr>
  </w:style>
  <w:style w:type="character" w:customStyle="1" w:styleId="BalloonTextChar">
    <w:name w:val="Balloon Text Char"/>
    <w:basedOn w:val="DefaultParagraphFont"/>
    <w:link w:val="BalloonText"/>
    <w:rsid w:val="007A569E"/>
    <w:rPr>
      <w:rFonts w:ascii="Tahoma" w:hAnsi="Tahoma" w:cs="Tahoma"/>
      <w:sz w:val="16"/>
      <w:szCs w:val="16"/>
      <w:lang w:val="en-US" w:eastAsia="en-US"/>
    </w:rPr>
  </w:style>
  <w:style w:type="paragraph" w:styleId="ListParagraph">
    <w:name w:val="List Paragraph"/>
    <w:basedOn w:val="Normal"/>
    <w:uiPriority w:val="34"/>
    <w:qFormat/>
    <w:rsid w:val="00792027"/>
    <w:pPr>
      <w:ind w:left="720"/>
      <w:contextualSpacing/>
    </w:pPr>
  </w:style>
  <w:style w:type="paragraph" w:styleId="Bibliography">
    <w:name w:val="Bibliography"/>
    <w:basedOn w:val="Normal"/>
    <w:next w:val="Normal"/>
    <w:uiPriority w:val="37"/>
    <w:unhideWhenUsed/>
    <w:rsid w:val="00606214"/>
  </w:style>
  <w:style w:type="paragraph" w:styleId="Caption">
    <w:name w:val="caption"/>
    <w:basedOn w:val="Normal"/>
    <w:next w:val="Normal"/>
    <w:uiPriority w:val="35"/>
    <w:unhideWhenUsed/>
    <w:qFormat/>
    <w:rsid w:val="006D516F"/>
    <w:pPr>
      <w:spacing w:after="200"/>
    </w:pPr>
    <w:rPr>
      <w:b/>
      <w:bCs/>
      <w:color w:val="4F81BD" w:themeColor="accent1"/>
      <w:sz w:val="18"/>
      <w:szCs w:val="18"/>
    </w:rPr>
  </w:style>
  <w:style w:type="character" w:customStyle="1" w:styleId="Heading1Char">
    <w:name w:val="Heading 1 Char"/>
    <w:basedOn w:val="DefaultParagraphFont"/>
    <w:link w:val="Heading1"/>
    <w:uiPriority w:val="9"/>
    <w:rsid w:val="00A55FCA"/>
    <w:rPr>
      <w:rFonts w:asciiTheme="majorHAnsi" w:eastAsiaTheme="majorEastAsia" w:hAnsiTheme="majorHAnsi" w:cstheme="majorBidi"/>
      <w:b/>
      <w:bCs/>
      <w:color w:val="365F91" w:themeColor="accent1" w:themeShade="BF"/>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iPriority="35"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A55FC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6C86"/>
    <w:rPr>
      <w:color w:val="0000FF"/>
      <w:u w:val="single"/>
    </w:rPr>
  </w:style>
  <w:style w:type="paragraph" w:styleId="Header">
    <w:name w:val="header"/>
    <w:basedOn w:val="Normal"/>
    <w:link w:val="HeaderChar"/>
    <w:rsid w:val="003409C0"/>
    <w:pPr>
      <w:tabs>
        <w:tab w:val="center" w:pos="4513"/>
        <w:tab w:val="right" w:pos="9026"/>
      </w:tabs>
    </w:pPr>
  </w:style>
  <w:style w:type="character" w:customStyle="1" w:styleId="HeaderChar">
    <w:name w:val="Header Char"/>
    <w:link w:val="Header"/>
    <w:rsid w:val="003409C0"/>
    <w:rPr>
      <w:sz w:val="24"/>
      <w:szCs w:val="24"/>
      <w:lang w:val="en-US" w:eastAsia="en-US"/>
    </w:rPr>
  </w:style>
  <w:style w:type="paragraph" w:styleId="Footer">
    <w:name w:val="footer"/>
    <w:basedOn w:val="Normal"/>
    <w:link w:val="FooterChar"/>
    <w:uiPriority w:val="99"/>
    <w:rsid w:val="003409C0"/>
    <w:pPr>
      <w:tabs>
        <w:tab w:val="center" w:pos="4513"/>
        <w:tab w:val="right" w:pos="9026"/>
      </w:tabs>
    </w:pPr>
  </w:style>
  <w:style w:type="character" w:customStyle="1" w:styleId="FooterChar">
    <w:name w:val="Footer Char"/>
    <w:link w:val="Footer"/>
    <w:uiPriority w:val="99"/>
    <w:rsid w:val="003409C0"/>
    <w:rPr>
      <w:sz w:val="24"/>
      <w:szCs w:val="24"/>
      <w:lang w:val="en-US" w:eastAsia="en-US"/>
    </w:rPr>
  </w:style>
  <w:style w:type="paragraph" w:styleId="BalloonText">
    <w:name w:val="Balloon Text"/>
    <w:basedOn w:val="Normal"/>
    <w:link w:val="BalloonTextChar"/>
    <w:rsid w:val="007A569E"/>
    <w:rPr>
      <w:rFonts w:ascii="Tahoma" w:hAnsi="Tahoma" w:cs="Tahoma"/>
      <w:sz w:val="16"/>
      <w:szCs w:val="16"/>
    </w:rPr>
  </w:style>
  <w:style w:type="character" w:customStyle="1" w:styleId="BalloonTextChar">
    <w:name w:val="Balloon Text Char"/>
    <w:basedOn w:val="DefaultParagraphFont"/>
    <w:link w:val="BalloonText"/>
    <w:rsid w:val="007A569E"/>
    <w:rPr>
      <w:rFonts w:ascii="Tahoma" w:hAnsi="Tahoma" w:cs="Tahoma"/>
      <w:sz w:val="16"/>
      <w:szCs w:val="16"/>
      <w:lang w:val="en-US" w:eastAsia="en-US"/>
    </w:rPr>
  </w:style>
  <w:style w:type="paragraph" w:styleId="ListParagraph">
    <w:name w:val="List Paragraph"/>
    <w:basedOn w:val="Normal"/>
    <w:uiPriority w:val="34"/>
    <w:qFormat/>
    <w:rsid w:val="00792027"/>
    <w:pPr>
      <w:ind w:left="720"/>
      <w:contextualSpacing/>
    </w:pPr>
  </w:style>
  <w:style w:type="paragraph" w:styleId="Bibliography">
    <w:name w:val="Bibliography"/>
    <w:basedOn w:val="Normal"/>
    <w:next w:val="Normal"/>
    <w:uiPriority w:val="37"/>
    <w:unhideWhenUsed/>
    <w:rsid w:val="00606214"/>
  </w:style>
  <w:style w:type="paragraph" w:styleId="Caption">
    <w:name w:val="caption"/>
    <w:basedOn w:val="Normal"/>
    <w:next w:val="Normal"/>
    <w:uiPriority w:val="35"/>
    <w:unhideWhenUsed/>
    <w:qFormat/>
    <w:rsid w:val="006D516F"/>
    <w:pPr>
      <w:spacing w:after="200"/>
    </w:pPr>
    <w:rPr>
      <w:b/>
      <w:bCs/>
      <w:color w:val="4F81BD" w:themeColor="accent1"/>
      <w:sz w:val="18"/>
      <w:szCs w:val="18"/>
    </w:rPr>
  </w:style>
  <w:style w:type="character" w:customStyle="1" w:styleId="Heading1Char">
    <w:name w:val="Heading 1 Char"/>
    <w:basedOn w:val="DefaultParagraphFont"/>
    <w:link w:val="Heading1"/>
    <w:uiPriority w:val="9"/>
    <w:rsid w:val="00A55FCA"/>
    <w:rPr>
      <w:rFonts w:asciiTheme="majorHAnsi" w:eastAsiaTheme="majorEastAsia" w:hAnsiTheme="majorHAnsi" w:cstheme="majorBidi"/>
      <w:b/>
      <w:bCs/>
      <w:color w:val="365F91" w:themeColor="accent1" w:themeShade="BF"/>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16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diagramLayout" Target="diagrams/layout2.xml"/><Relationship Id="rId10" Type="http://schemas.openxmlformats.org/officeDocument/2006/relationships/diagramLayout" Target="diagrams/layout1.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782ED96-7F7E-44FF-9DD2-BBEF0D099688}" type="doc">
      <dgm:prSet loTypeId="urn:microsoft.com/office/officeart/2005/8/layout/matrix1" loCatId="matrix" qsTypeId="urn:microsoft.com/office/officeart/2005/8/quickstyle/3d3" qsCatId="3D" csTypeId="urn:microsoft.com/office/officeart/2005/8/colors/accent0_1" csCatId="mainScheme" phldr="1"/>
      <dgm:spPr/>
      <dgm:t>
        <a:bodyPr/>
        <a:lstStyle/>
        <a:p>
          <a:endParaRPr lang="en-US"/>
        </a:p>
      </dgm:t>
    </dgm:pt>
    <dgm:pt modelId="{B5089D81-9CEC-4399-BA84-84E88262F3DB}">
      <dgm:prSet phldrT="[Text]" custT="1"/>
      <dgm:spPr/>
      <dgm:t>
        <a:bodyPr/>
        <a:lstStyle/>
        <a:p>
          <a:pPr algn="ctr"/>
          <a:r>
            <a:rPr lang="en-US" sz="1200" dirty="0">
              <a:latin typeface="Times New Roman" pitchFamily="18" charset="0"/>
              <a:cs typeface="Times New Roman" pitchFamily="18" charset="0"/>
            </a:rPr>
            <a:t>World Class Education</a:t>
          </a:r>
        </a:p>
      </dgm:t>
    </dgm:pt>
    <dgm:pt modelId="{F6DF75D5-7757-42F2-8241-125A3F879508}" type="parTrans" cxnId="{132DCAD3-DB2A-4DAC-A7E2-14D8C8509F94}">
      <dgm:prSet/>
      <dgm:spPr/>
      <dgm:t>
        <a:bodyPr/>
        <a:lstStyle/>
        <a:p>
          <a:pPr algn="ctr"/>
          <a:endParaRPr lang="en-US"/>
        </a:p>
      </dgm:t>
    </dgm:pt>
    <dgm:pt modelId="{8F28EAC1-4D82-4401-9E54-78B06364B125}" type="sibTrans" cxnId="{132DCAD3-DB2A-4DAC-A7E2-14D8C8509F94}">
      <dgm:prSet/>
      <dgm:spPr/>
      <dgm:t>
        <a:bodyPr/>
        <a:lstStyle/>
        <a:p>
          <a:pPr algn="ctr"/>
          <a:endParaRPr lang="en-US"/>
        </a:p>
      </dgm:t>
    </dgm:pt>
    <dgm:pt modelId="{65B7AF9B-CDDF-4266-8E6B-A28C40759C29}">
      <dgm:prSet phldrT="[Text]" custT="1"/>
      <dgm:spPr/>
      <dgm:t>
        <a:bodyPr/>
        <a:lstStyle/>
        <a:p>
          <a:pPr algn="ctr"/>
          <a:r>
            <a:rPr lang="en-US" sz="1200" dirty="0">
              <a:latin typeface="Times New Roman" pitchFamily="18" charset="0"/>
              <a:cs typeface="Times New Roman" pitchFamily="18" charset="0"/>
            </a:rPr>
            <a:t>Academic Standards</a:t>
          </a:r>
        </a:p>
      </dgm:t>
    </dgm:pt>
    <dgm:pt modelId="{E55D9791-5C39-4C0F-9E6B-A5AA69802A4D}" type="parTrans" cxnId="{FAA2DB85-1C83-42BD-9795-2FE9C295135F}">
      <dgm:prSet/>
      <dgm:spPr/>
      <dgm:t>
        <a:bodyPr/>
        <a:lstStyle/>
        <a:p>
          <a:pPr algn="ctr"/>
          <a:endParaRPr lang="en-US"/>
        </a:p>
      </dgm:t>
    </dgm:pt>
    <dgm:pt modelId="{75503DBE-D3AA-4E76-9DCF-89F6F73213F3}" type="sibTrans" cxnId="{FAA2DB85-1C83-42BD-9795-2FE9C295135F}">
      <dgm:prSet/>
      <dgm:spPr/>
      <dgm:t>
        <a:bodyPr/>
        <a:lstStyle/>
        <a:p>
          <a:pPr algn="ctr"/>
          <a:endParaRPr lang="en-US"/>
        </a:p>
      </dgm:t>
    </dgm:pt>
    <dgm:pt modelId="{E0FD51CF-54B8-40E9-9599-9D681B5C0F89}">
      <dgm:prSet phldrT="[Text]" custT="1"/>
      <dgm:spPr/>
      <dgm:t>
        <a:bodyPr/>
        <a:lstStyle/>
        <a:p>
          <a:pPr algn="ctr"/>
          <a:r>
            <a:rPr lang="en-US" sz="1200">
              <a:latin typeface="Times New Roman" pitchFamily="18" charset="0"/>
              <a:cs typeface="Times New Roman" pitchFamily="18" charset="0"/>
            </a:rPr>
            <a:t>Sustainable Economic Competitiveness</a:t>
          </a:r>
        </a:p>
      </dgm:t>
    </dgm:pt>
    <dgm:pt modelId="{3E2644E4-13B0-4DAC-BCC3-5C434F9F9DC9}" type="parTrans" cxnId="{0A70D374-BE1E-4C99-8444-05D549634A54}">
      <dgm:prSet/>
      <dgm:spPr/>
      <dgm:t>
        <a:bodyPr/>
        <a:lstStyle/>
        <a:p>
          <a:pPr algn="ctr"/>
          <a:endParaRPr lang="en-US"/>
        </a:p>
      </dgm:t>
    </dgm:pt>
    <dgm:pt modelId="{ABE329BD-0487-4ECD-AA4E-DB39D46FBC26}" type="sibTrans" cxnId="{0A70D374-BE1E-4C99-8444-05D549634A54}">
      <dgm:prSet/>
      <dgm:spPr/>
      <dgm:t>
        <a:bodyPr/>
        <a:lstStyle/>
        <a:p>
          <a:pPr algn="ctr"/>
          <a:endParaRPr lang="en-US"/>
        </a:p>
      </dgm:t>
    </dgm:pt>
    <dgm:pt modelId="{1048D496-2B0C-4B11-89F7-BBD0A464B106}">
      <dgm:prSet phldrT="[Text]" custT="1"/>
      <dgm:spPr/>
      <dgm:t>
        <a:bodyPr/>
        <a:lstStyle/>
        <a:p>
          <a:pPr algn="ctr"/>
          <a:r>
            <a:rPr lang="en-US" sz="1200">
              <a:latin typeface="Times New Roman" pitchFamily="18" charset="0"/>
              <a:cs typeface="Times New Roman" pitchFamily="18" charset="0"/>
            </a:rPr>
            <a:t>Researh and Innovation</a:t>
          </a:r>
        </a:p>
      </dgm:t>
    </dgm:pt>
    <dgm:pt modelId="{561CCDA0-2C73-418E-B317-F0EEB619F192}" type="parTrans" cxnId="{6796B5F8-AB88-4EEE-9A08-A1275E218E11}">
      <dgm:prSet/>
      <dgm:spPr/>
      <dgm:t>
        <a:bodyPr/>
        <a:lstStyle/>
        <a:p>
          <a:pPr algn="ctr"/>
          <a:endParaRPr lang="en-US"/>
        </a:p>
      </dgm:t>
    </dgm:pt>
    <dgm:pt modelId="{9807F768-EFF9-458E-8D37-4DB4252802D6}" type="sibTrans" cxnId="{6796B5F8-AB88-4EEE-9A08-A1275E218E11}">
      <dgm:prSet/>
      <dgm:spPr/>
      <dgm:t>
        <a:bodyPr/>
        <a:lstStyle/>
        <a:p>
          <a:pPr algn="ctr"/>
          <a:endParaRPr lang="en-US"/>
        </a:p>
      </dgm:t>
    </dgm:pt>
    <dgm:pt modelId="{46FAF89F-64E1-4720-9E73-06BCBCA40A2F}">
      <dgm:prSet phldrT="[Text]" custT="1"/>
      <dgm:spPr/>
      <dgm:t>
        <a:bodyPr/>
        <a:lstStyle/>
        <a:p>
          <a:pPr algn="ctr"/>
          <a:r>
            <a:rPr lang="en-US" sz="1200" dirty="0">
              <a:latin typeface="Times New Roman" pitchFamily="18" charset="0"/>
              <a:cs typeface="Times New Roman" pitchFamily="18" charset="0"/>
            </a:rPr>
            <a:t>Lifelong Learning</a:t>
          </a:r>
        </a:p>
      </dgm:t>
    </dgm:pt>
    <dgm:pt modelId="{D0730709-447A-42BB-85D0-5F54EF40C55F}" type="parTrans" cxnId="{F9728CF3-3090-4B84-8BD4-32A2C5DC631B}">
      <dgm:prSet/>
      <dgm:spPr/>
      <dgm:t>
        <a:bodyPr/>
        <a:lstStyle/>
        <a:p>
          <a:pPr algn="ctr"/>
          <a:endParaRPr lang="en-US"/>
        </a:p>
      </dgm:t>
    </dgm:pt>
    <dgm:pt modelId="{2D23D9E7-55C5-4801-A1D4-95163118F6A7}" type="sibTrans" cxnId="{F9728CF3-3090-4B84-8BD4-32A2C5DC631B}">
      <dgm:prSet/>
      <dgm:spPr/>
      <dgm:t>
        <a:bodyPr/>
        <a:lstStyle/>
        <a:p>
          <a:pPr algn="ctr"/>
          <a:endParaRPr lang="en-US"/>
        </a:p>
      </dgm:t>
    </dgm:pt>
    <dgm:pt modelId="{EBE45B1F-0373-44C4-A34E-1A0830C8813A}" type="pres">
      <dgm:prSet presAssocID="{F782ED96-7F7E-44FF-9DD2-BBEF0D099688}" presName="diagram" presStyleCnt="0">
        <dgm:presLayoutVars>
          <dgm:chMax val="1"/>
          <dgm:dir/>
          <dgm:animLvl val="ctr"/>
          <dgm:resizeHandles val="exact"/>
        </dgm:presLayoutVars>
      </dgm:prSet>
      <dgm:spPr/>
      <dgm:t>
        <a:bodyPr/>
        <a:lstStyle/>
        <a:p>
          <a:endParaRPr lang="en-US"/>
        </a:p>
      </dgm:t>
    </dgm:pt>
    <dgm:pt modelId="{29BB8198-E36C-4F82-8F04-4A76442ED9B4}" type="pres">
      <dgm:prSet presAssocID="{F782ED96-7F7E-44FF-9DD2-BBEF0D099688}" presName="matrix" presStyleCnt="0"/>
      <dgm:spPr/>
      <dgm:t>
        <a:bodyPr/>
        <a:lstStyle/>
        <a:p>
          <a:endParaRPr lang="en-GB"/>
        </a:p>
      </dgm:t>
    </dgm:pt>
    <dgm:pt modelId="{846055E1-2BEF-4176-ACC9-1B96B826229C}" type="pres">
      <dgm:prSet presAssocID="{F782ED96-7F7E-44FF-9DD2-BBEF0D099688}" presName="tile1" presStyleLbl="node1" presStyleIdx="0" presStyleCnt="4"/>
      <dgm:spPr/>
      <dgm:t>
        <a:bodyPr/>
        <a:lstStyle/>
        <a:p>
          <a:endParaRPr lang="en-US"/>
        </a:p>
      </dgm:t>
    </dgm:pt>
    <dgm:pt modelId="{44F55037-9AFC-41CA-87A0-A6C7EB86AABF}" type="pres">
      <dgm:prSet presAssocID="{F782ED96-7F7E-44FF-9DD2-BBEF0D099688}" presName="tile1text" presStyleLbl="node1" presStyleIdx="0" presStyleCnt="4">
        <dgm:presLayoutVars>
          <dgm:chMax val="0"/>
          <dgm:chPref val="0"/>
          <dgm:bulletEnabled val="1"/>
        </dgm:presLayoutVars>
      </dgm:prSet>
      <dgm:spPr/>
      <dgm:t>
        <a:bodyPr/>
        <a:lstStyle/>
        <a:p>
          <a:endParaRPr lang="en-US"/>
        </a:p>
      </dgm:t>
    </dgm:pt>
    <dgm:pt modelId="{C47A54F3-0A93-4923-A805-4BD40C8CD1CF}" type="pres">
      <dgm:prSet presAssocID="{F782ED96-7F7E-44FF-9DD2-BBEF0D099688}" presName="tile2" presStyleLbl="node1" presStyleIdx="1" presStyleCnt="4"/>
      <dgm:spPr/>
      <dgm:t>
        <a:bodyPr/>
        <a:lstStyle/>
        <a:p>
          <a:endParaRPr lang="en-US"/>
        </a:p>
      </dgm:t>
    </dgm:pt>
    <dgm:pt modelId="{1ECD84CF-7472-4EE3-B533-FE07F963498F}" type="pres">
      <dgm:prSet presAssocID="{F782ED96-7F7E-44FF-9DD2-BBEF0D099688}" presName="tile2text" presStyleLbl="node1" presStyleIdx="1" presStyleCnt="4">
        <dgm:presLayoutVars>
          <dgm:chMax val="0"/>
          <dgm:chPref val="0"/>
          <dgm:bulletEnabled val="1"/>
        </dgm:presLayoutVars>
      </dgm:prSet>
      <dgm:spPr/>
      <dgm:t>
        <a:bodyPr/>
        <a:lstStyle/>
        <a:p>
          <a:endParaRPr lang="en-US"/>
        </a:p>
      </dgm:t>
    </dgm:pt>
    <dgm:pt modelId="{C59636C8-68DC-485B-9BAD-22259105D63A}" type="pres">
      <dgm:prSet presAssocID="{F782ED96-7F7E-44FF-9DD2-BBEF0D099688}" presName="tile3" presStyleLbl="node1" presStyleIdx="2" presStyleCnt="4"/>
      <dgm:spPr/>
      <dgm:t>
        <a:bodyPr/>
        <a:lstStyle/>
        <a:p>
          <a:endParaRPr lang="en-US"/>
        </a:p>
      </dgm:t>
    </dgm:pt>
    <dgm:pt modelId="{63686F03-A71F-4508-B441-76B816D20546}" type="pres">
      <dgm:prSet presAssocID="{F782ED96-7F7E-44FF-9DD2-BBEF0D099688}" presName="tile3text" presStyleLbl="node1" presStyleIdx="2" presStyleCnt="4">
        <dgm:presLayoutVars>
          <dgm:chMax val="0"/>
          <dgm:chPref val="0"/>
          <dgm:bulletEnabled val="1"/>
        </dgm:presLayoutVars>
      </dgm:prSet>
      <dgm:spPr/>
      <dgm:t>
        <a:bodyPr/>
        <a:lstStyle/>
        <a:p>
          <a:endParaRPr lang="en-US"/>
        </a:p>
      </dgm:t>
    </dgm:pt>
    <dgm:pt modelId="{EBAC84C7-047F-42DC-AE6C-924EF6C9035B}" type="pres">
      <dgm:prSet presAssocID="{F782ED96-7F7E-44FF-9DD2-BBEF0D099688}" presName="tile4" presStyleLbl="node1" presStyleIdx="3" presStyleCnt="4" custLinFactNeighborX="19024" custLinFactNeighborY="40431"/>
      <dgm:spPr/>
      <dgm:t>
        <a:bodyPr/>
        <a:lstStyle/>
        <a:p>
          <a:endParaRPr lang="en-US"/>
        </a:p>
      </dgm:t>
    </dgm:pt>
    <dgm:pt modelId="{15F94C5A-06C7-43C2-8737-08D683792C59}" type="pres">
      <dgm:prSet presAssocID="{F782ED96-7F7E-44FF-9DD2-BBEF0D099688}" presName="tile4text" presStyleLbl="node1" presStyleIdx="3" presStyleCnt="4">
        <dgm:presLayoutVars>
          <dgm:chMax val="0"/>
          <dgm:chPref val="0"/>
          <dgm:bulletEnabled val="1"/>
        </dgm:presLayoutVars>
      </dgm:prSet>
      <dgm:spPr/>
      <dgm:t>
        <a:bodyPr/>
        <a:lstStyle/>
        <a:p>
          <a:endParaRPr lang="en-US"/>
        </a:p>
      </dgm:t>
    </dgm:pt>
    <dgm:pt modelId="{E26FC27F-78E1-43B1-8DCC-AF73B33BD514}" type="pres">
      <dgm:prSet presAssocID="{F782ED96-7F7E-44FF-9DD2-BBEF0D099688}" presName="centerTile" presStyleLbl="fgShp" presStyleIdx="0" presStyleCnt="1" custScaleY="134737">
        <dgm:presLayoutVars>
          <dgm:chMax val="0"/>
          <dgm:chPref val="0"/>
        </dgm:presLayoutVars>
      </dgm:prSet>
      <dgm:spPr/>
      <dgm:t>
        <a:bodyPr/>
        <a:lstStyle/>
        <a:p>
          <a:endParaRPr lang="en-US"/>
        </a:p>
      </dgm:t>
    </dgm:pt>
  </dgm:ptLst>
  <dgm:cxnLst>
    <dgm:cxn modelId="{CFEF0AF7-38E1-4BD5-AA98-E6E096E83494}" type="presOf" srcId="{46FAF89F-64E1-4720-9E73-06BCBCA40A2F}" destId="{15F94C5A-06C7-43C2-8737-08D683792C59}" srcOrd="1" destOrd="0" presId="urn:microsoft.com/office/officeart/2005/8/layout/matrix1"/>
    <dgm:cxn modelId="{57C7E6BE-C262-43FB-A3F0-4FB86A5EEE54}" type="presOf" srcId="{E0FD51CF-54B8-40E9-9599-9D681B5C0F89}" destId="{1ECD84CF-7472-4EE3-B533-FE07F963498F}" srcOrd="1" destOrd="0" presId="urn:microsoft.com/office/officeart/2005/8/layout/matrix1"/>
    <dgm:cxn modelId="{AE9C5D60-E2D7-4304-BC92-B4F3FB999236}" type="presOf" srcId="{B5089D81-9CEC-4399-BA84-84E88262F3DB}" destId="{E26FC27F-78E1-43B1-8DCC-AF73B33BD514}" srcOrd="0" destOrd="0" presId="urn:microsoft.com/office/officeart/2005/8/layout/matrix1"/>
    <dgm:cxn modelId="{6796B5F8-AB88-4EEE-9A08-A1275E218E11}" srcId="{B5089D81-9CEC-4399-BA84-84E88262F3DB}" destId="{1048D496-2B0C-4B11-89F7-BBD0A464B106}" srcOrd="2" destOrd="0" parTransId="{561CCDA0-2C73-418E-B317-F0EEB619F192}" sibTransId="{9807F768-EFF9-458E-8D37-4DB4252802D6}"/>
    <dgm:cxn modelId="{132DCAD3-DB2A-4DAC-A7E2-14D8C8509F94}" srcId="{F782ED96-7F7E-44FF-9DD2-BBEF0D099688}" destId="{B5089D81-9CEC-4399-BA84-84E88262F3DB}" srcOrd="0" destOrd="0" parTransId="{F6DF75D5-7757-42F2-8241-125A3F879508}" sibTransId="{8F28EAC1-4D82-4401-9E54-78B06364B125}"/>
    <dgm:cxn modelId="{66949132-F4D5-4A94-87DA-9FA8B615204F}" type="presOf" srcId="{1048D496-2B0C-4B11-89F7-BBD0A464B106}" destId="{C59636C8-68DC-485B-9BAD-22259105D63A}" srcOrd="0" destOrd="0" presId="urn:microsoft.com/office/officeart/2005/8/layout/matrix1"/>
    <dgm:cxn modelId="{25AD71BB-9D03-4AB8-9DB5-6BFB60AB23F9}" type="presOf" srcId="{46FAF89F-64E1-4720-9E73-06BCBCA40A2F}" destId="{EBAC84C7-047F-42DC-AE6C-924EF6C9035B}" srcOrd="0" destOrd="0" presId="urn:microsoft.com/office/officeart/2005/8/layout/matrix1"/>
    <dgm:cxn modelId="{F9728CF3-3090-4B84-8BD4-32A2C5DC631B}" srcId="{B5089D81-9CEC-4399-BA84-84E88262F3DB}" destId="{46FAF89F-64E1-4720-9E73-06BCBCA40A2F}" srcOrd="3" destOrd="0" parTransId="{D0730709-447A-42BB-85D0-5F54EF40C55F}" sibTransId="{2D23D9E7-55C5-4801-A1D4-95163118F6A7}"/>
    <dgm:cxn modelId="{8656EE3E-8622-4D37-96DE-A4F1BC8464DF}" type="presOf" srcId="{65B7AF9B-CDDF-4266-8E6B-A28C40759C29}" destId="{44F55037-9AFC-41CA-87A0-A6C7EB86AABF}" srcOrd="1" destOrd="0" presId="urn:microsoft.com/office/officeart/2005/8/layout/matrix1"/>
    <dgm:cxn modelId="{0A70D374-BE1E-4C99-8444-05D549634A54}" srcId="{B5089D81-9CEC-4399-BA84-84E88262F3DB}" destId="{E0FD51CF-54B8-40E9-9599-9D681B5C0F89}" srcOrd="1" destOrd="0" parTransId="{3E2644E4-13B0-4DAC-BCC3-5C434F9F9DC9}" sibTransId="{ABE329BD-0487-4ECD-AA4E-DB39D46FBC26}"/>
    <dgm:cxn modelId="{FAA2DB85-1C83-42BD-9795-2FE9C295135F}" srcId="{B5089D81-9CEC-4399-BA84-84E88262F3DB}" destId="{65B7AF9B-CDDF-4266-8E6B-A28C40759C29}" srcOrd="0" destOrd="0" parTransId="{E55D9791-5C39-4C0F-9E6B-A5AA69802A4D}" sibTransId="{75503DBE-D3AA-4E76-9DCF-89F6F73213F3}"/>
    <dgm:cxn modelId="{A4633438-1280-45FD-9014-B2F7ABE1D011}" type="presOf" srcId="{F782ED96-7F7E-44FF-9DD2-BBEF0D099688}" destId="{EBE45B1F-0373-44C4-A34E-1A0830C8813A}" srcOrd="0" destOrd="0" presId="urn:microsoft.com/office/officeart/2005/8/layout/matrix1"/>
    <dgm:cxn modelId="{5BB69012-8A54-4E89-83FE-A9B5AC223454}" type="presOf" srcId="{E0FD51CF-54B8-40E9-9599-9D681B5C0F89}" destId="{C47A54F3-0A93-4923-A805-4BD40C8CD1CF}" srcOrd="0" destOrd="0" presId="urn:microsoft.com/office/officeart/2005/8/layout/matrix1"/>
    <dgm:cxn modelId="{8BD5564D-4D01-4049-A042-860BA02E7D20}" type="presOf" srcId="{1048D496-2B0C-4B11-89F7-BBD0A464B106}" destId="{63686F03-A71F-4508-B441-76B816D20546}" srcOrd="1" destOrd="0" presId="urn:microsoft.com/office/officeart/2005/8/layout/matrix1"/>
    <dgm:cxn modelId="{389C4A32-A551-4D01-AD4B-8072633921EF}" type="presOf" srcId="{65B7AF9B-CDDF-4266-8E6B-A28C40759C29}" destId="{846055E1-2BEF-4176-ACC9-1B96B826229C}" srcOrd="0" destOrd="0" presId="urn:microsoft.com/office/officeart/2005/8/layout/matrix1"/>
    <dgm:cxn modelId="{CEBF8A93-0B2B-4A08-8517-466BD6D4D32E}" type="presParOf" srcId="{EBE45B1F-0373-44C4-A34E-1A0830C8813A}" destId="{29BB8198-E36C-4F82-8F04-4A76442ED9B4}" srcOrd="0" destOrd="0" presId="urn:microsoft.com/office/officeart/2005/8/layout/matrix1"/>
    <dgm:cxn modelId="{15B85B46-D395-4EE0-B8E7-B47D4248A690}" type="presParOf" srcId="{29BB8198-E36C-4F82-8F04-4A76442ED9B4}" destId="{846055E1-2BEF-4176-ACC9-1B96B826229C}" srcOrd="0" destOrd="0" presId="urn:microsoft.com/office/officeart/2005/8/layout/matrix1"/>
    <dgm:cxn modelId="{88358EB9-4005-4024-AFB0-89ADE1C4C546}" type="presParOf" srcId="{29BB8198-E36C-4F82-8F04-4A76442ED9B4}" destId="{44F55037-9AFC-41CA-87A0-A6C7EB86AABF}" srcOrd="1" destOrd="0" presId="urn:microsoft.com/office/officeart/2005/8/layout/matrix1"/>
    <dgm:cxn modelId="{FD215ED4-3152-4C7B-BB36-82ED25ECD708}" type="presParOf" srcId="{29BB8198-E36C-4F82-8F04-4A76442ED9B4}" destId="{C47A54F3-0A93-4923-A805-4BD40C8CD1CF}" srcOrd="2" destOrd="0" presId="urn:microsoft.com/office/officeart/2005/8/layout/matrix1"/>
    <dgm:cxn modelId="{317985EE-CE4C-4865-8D12-89A3EE7EC977}" type="presParOf" srcId="{29BB8198-E36C-4F82-8F04-4A76442ED9B4}" destId="{1ECD84CF-7472-4EE3-B533-FE07F963498F}" srcOrd="3" destOrd="0" presId="urn:microsoft.com/office/officeart/2005/8/layout/matrix1"/>
    <dgm:cxn modelId="{A577F93C-7691-4CAE-9D21-FF47E041F885}" type="presParOf" srcId="{29BB8198-E36C-4F82-8F04-4A76442ED9B4}" destId="{C59636C8-68DC-485B-9BAD-22259105D63A}" srcOrd="4" destOrd="0" presId="urn:microsoft.com/office/officeart/2005/8/layout/matrix1"/>
    <dgm:cxn modelId="{0E76DA51-2962-4100-B87D-0757DFF7B908}" type="presParOf" srcId="{29BB8198-E36C-4F82-8F04-4A76442ED9B4}" destId="{63686F03-A71F-4508-B441-76B816D20546}" srcOrd="5" destOrd="0" presId="urn:microsoft.com/office/officeart/2005/8/layout/matrix1"/>
    <dgm:cxn modelId="{FEEE5460-CD8B-4F5B-BBC9-6D8DF5D9B831}" type="presParOf" srcId="{29BB8198-E36C-4F82-8F04-4A76442ED9B4}" destId="{EBAC84C7-047F-42DC-AE6C-924EF6C9035B}" srcOrd="6" destOrd="0" presId="urn:microsoft.com/office/officeart/2005/8/layout/matrix1"/>
    <dgm:cxn modelId="{07C3A831-33DD-4420-A44D-61A6F9D88433}" type="presParOf" srcId="{29BB8198-E36C-4F82-8F04-4A76442ED9B4}" destId="{15F94C5A-06C7-43C2-8737-08D683792C59}" srcOrd="7" destOrd="0" presId="urn:microsoft.com/office/officeart/2005/8/layout/matrix1"/>
    <dgm:cxn modelId="{972DE5DA-AB41-4E57-A84B-2EFD8A4AE118}" type="presParOf" srcId="{EBE45B1F-0373-44C4-A34E-1A0830C8813A}" destId="{E26FC27F-78E1-43B1-8DCC-AF73B33BD514}" srcOrd="1" destOrd="0" presId="urn:microsoft.com/office/officeart/2005/8/layout/matrix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891C690-2710-4902-A32F-00B54984FB36}" type="doc">
      <dgm:prSet loTypeId="urn:microsoft.com/office/officeart/2005/8/layout/lProcess2" loCatId="relationship" qsTypeId="urn:microsoft.com/office/officeart/2005/8/quickstyle/3d1" qsCatId="3D" csTypeId="urn:microsoft.com/office/officeart/2005/8/colors/accent0_1" csCatId="mainScheme" phldr="1"/>
      <dgm:spPr/>
      <dgm:t>
        <a:bodyPr/>
        <a:lstStyle/>
        <a:p>
          <a:endParaRPr lang="en-GB"/>
        </a:p>
      </dgm:t>
    </dgm:pt>
    <dgm:pt modelId="{EF79B931-C95B-485A-B427-F810392DCA8C}">
      <dgm:prSet phldrT="[Text]" custT="1"/>
      <dgm:spPr/>
      <dgm:t>
        <a:bodyPr/>
        <a:lstStyle/>
        <a:p>
          <a:pPr algn="ctr"/>
          <a:r>
            <a:rPr lang="en-GB" sz="1200">
              <a:latin typeface="Times New Roman" pitchFamily="18" charset="0"/>
              <a:cs typeface="Times New Roman" pitchFamily="18" charset="0"/>
            </a:rPr>
            <a:t>UKSPEC</a:t>
          </a:r>
        </a:p>
      </dgm:t>
    </dgm:pt>
    <dgm:pt modelId="{690B022B-34EC-4913-8563-363451A26DDA}" type="parTrans" cxnId="{BA625C8D-9DCF-45A9-ADEC-4C9E9654ED09}">
      <dgm:prSet/>
      <dgm:spPr/>
      <dgm:t>
        <a:bodyPr/>
        <a:lstStyle/>
        <a:p>
          <a:pPr algn="ctr"/>
          <a:endParaRPr lang="en-GB"/>
        </a:p>
      </dgm:t>
    </dgm:pt>
    <dgm:pt modelId="{6724EE25-319B-4898-B361-6D915E6AF76B}" type="sibTrans" cxnId="{BA625C8D-9DCF-45A9-ADEC-4C9E9654ED09}">
      <dgm:prSet/>
      <dgm:spPr/>
      <dgm:t>
        <a:bodyPr/>
        <a:lstStyle/>
        <a:p>
          <a:pPr algn="ctr"/>
          <a:endParaRPr lang="en-GB"/>
        </a:p>
      </dgm:t>
    </dgm:pt>
    <dgm:pt modelId="{77900CF5-A944-4D7B-B279-69F58CDD62EA}">
      <dgm:prSet phldrT="[Text]" custT="1"/>
      <dgm:spPr/>
      <dgm:t>
        <a:bodyPr/>
        <a:lstStyle/>
        <a:p>
          <a:pPr algn="ctr"/>
          <a:r>
            <a:rPr lang="en-GB" sz="1100">
              <a:latin typeface="Times New Roman" pitchFamily="18" charset="0"/>
              <a:cs typeface="Times New Roman" pitchFamily="18" charset="0"/>
            </a:rPr>
            <a:t>Underpinning Mathematics </a:t>
          </a:r>
          <a:br>
            <a:rPr lang="en-GB" sz="1100">
              <a:latin typeface="Times New Roman" pitchFamily="18" charset="0"/>
              <a:cs typeface="Times New Roman" pitchFamily="18" charset="0"/>
            </a:rPr>
          </a:br>
          <a:r>
            <a:rPr lang="en-GB" sz="1100">
              <a:latin typeface="Times New Roman" pitchFamily="18" charset="0"/>
              <a:cs typeface="Times New Roman" pitchFamily="18" charset="0"/>
            </a:rPr>
            <a:t>and Science</a:t>
          </a:r>
        </a:p>
      </dgm:t>
    </dgm:pt>
    <dgm:pt modelId="{8CB2F551-CD78-43CA-BAC6-B8EF62031F99}" type="parTrans" cxnId="{6C33FB11-162D-4AB0-93A0-74FE7F048C6C}">
      <dgm:prSet/>
      <dgm:spPr/>
      <dgm:t>
        <a:bodyPr/>
        <a:lstStyle/>
        <a:p>
          <a:pPr algn="ctr"/>
          <a:endParaRPr lang="en-GB"/>
        </a:p>
      </dgm:t>
    </dgm:pt>
    <dgm:pt modelId="{640FD05A-AA08-4726-B9B8-CC806384F00D}" type="sibTrans" cxnId="{6C33FB11-162D-4AB0-93A0-74FE7F048C6C}">
      <dgm:prSet/>
      <dgm:spPr/>
      <dgm:t>
        <a:bodyPr/>
        <a:lstStyle/>
        <a:p>
          <a:pPr algn="ctr"/>
          <a:endParaRPr lang="en-GB"/>
        </a:p>
      </dgm:t>
    </dgm:pt>
    <dgm:pt modelId="{318480FB-4AE5-419A-B20E-3C4617866D20}">
      <dgm:prSet phldrT="[Text]" custT="1"/>
      <dgm:spPr/>
      <dgm:t>
        <a:bodyPr/>
        <a:lstStyle/>
        <a:p>
          <a:pPr algn="ctr"/>
          <a:r>
            <a:rPr lang="en-GB" sz="1100">
              <a:latin typeface="Times New Roman" pitchFamily="18" charset="0"/>
              <a:cs typeface="Times New Roman" pitchFamily="18" charset="0"/>
            </a:rPr>
            <a:t>Engineering analysis</a:t>
          </a:r>
        </a:p>
      </dgm:t>
    </dgm:pt>
    <dgm:pt modelId="{616D753C-148B-4B6D-A995-88C36165326E}" type="parTrans" cxnId="{1E3A333F-F424-48B1-95E8-3A92D6D0ED49}">
      <dgm:prSet/>
      <dgm:spPr/>
      <dgm:t>
        <a:bodyPr/>
        <a:lstStyle/>
        <a:p>
          <a:pPr algn="ctr"/>
          <a:endParaRPr lang="en-GB"/>
        </a:p>
      </dgm:t>
    </dgm:pt>
    <dgm:pt modelId="{FEA7FEBF-D04B-49F1-B912-5422FC8291A6}" type="sibTrans" cxnId="{1E3A333F-F424-48B1-95E8-3A92D6D0ED49}">
      <dgm:prSet/>
      <dgm:spPr/>
      <dgm:t>
        <a:bodyPr/>
        <a:lstStyle/>
        <a:p>
          <a:pPr algn="ctr"/>
          <a:endParaRPr lang="en-GB"/>
        </a:p>
      </dgm:t>
    </dgm:pt>
    <dgm:pt modelId="{98CC76EC-1575-4FF8-A2A4-51518AEF177B}">
      <dgm:prSet phldrT="[Text]" custT="1"/>
      <dgm:spPr/>
      <dgm:t>
        <a:bodyPr/>
        <a:lstStyle/>
        <a:p>
          <a:pPr algn="ctr"/>
          <a:r>
            <a:rPr lang="en-GB" sz="1200">
              <a:latin typeface="Times New Roman" pitchFamily="18" charset="0"/>
              <a:cs typeface="Times New Roman" pitchFamily="18" charset="0"/>
            </a:rPr>
            <a:t>EUR-ACE</a:t>
          </a:r>
        </a:p>
      </dgm:t>
    </dgm:pt>
    <dgm:pt modelId="{BF149505-8C58-4D27-A92B-F961437DC948}" type="parTrans" cxnId="{48FE721A-E7DE-4220-BE98-8EFF17D44A78}">
      <dgm:prSet/>
      <dgm:spPr/>
      <dgm:t>
        <a:bodyPr/>
        <a:lstStyle/>
        <a:p>
          <a:pPr algn="ctr"/>
          <a:endParaRPr lang="en-GB"/>
        </a:p>
      </dgm:t>
    </dgm:pt>
    <dgm:pt modelId="{4E5E978A-48B1-4F3C-BF96-2816BB94BB64}" type="sibTrans" cxnId="{48FE721A-E7DE-4220-BE98-8EFF17D44A78}">
      <dgm:prSet/>
      <dgm:spPr/>
      <dgm:t>
        <a:bodyPr/>
        <a:lstStyle/>
        <a:p>
          <a:pPr algn="ctr"/>
          <a:endParaRPr lang="en-GB"/>
        </a:p>
      </dgm:t>
    </dgm:pt>
    <dgm:pt modelId="{A7638523-B25F-423A-B469-BDE36A222880}">
      <dgm:prSet phldrT="[Text]" custT="1"/>
      <dgm:spPr/>
      <dgm:t>
        <a:bodyPr/>
        <a:lstStyle/>
        <a:p>
          <a:pPr algn="ctr"/>
          <a:r>
            <a:rPr lang="en-GB" sz="1100">
              <a:latin typeface="Times New Roman" pitchFamily="18" charset="0"/>
              <a:cs typeface="Times New Roman" pitchFamily="18" charset="0"/>
            </a:rPr>
            <a:t>Knowledge and Understanding</a:t>
          </a:r>
        </a:p>
      </dgm:t>
    </dgm:pt>
    <dgm:pt modelId="{526E622C-C954-40AC-AC2C-97EED7741C89}" type="parTrans" cxnId="{A9FFDA49-3920-4E3A-9B88-49221D8E81F6}">
      <dgm:prSet/>
      <dgm:spPr/>
      <dgm:t>
        <a:bodyPr/>
        <a:lstStyle/>
        <a:p>
          <a:pPr algn="ctr"/>
          <a:endParaRPr lang="en-GB"/>
        </a:p>
      </dgm:t>
    </dgm:pt>
    <dgm:pt modelId="{E572F3C2-8661-411E-A896-CA4F5EC0E29D}" type="sibTrans" cxnId="{A9FFDA49-3920-4E3A-9B88-49221D8E81F6}">
      <dgm:prSet/>
      <dgm:spPr/>
      <dgm:t>
        <a:bodyPr/>
        <a:lstStyle/>
        <a:p>
          <a:pPr algn="ctr"/>
          <a:endParaRPr lang="en-GB"/>
        </a:p>
      </dgm:t>
    </dgm:pt>
    <dgm:pt modelId="{B34C4584-0E52-45BA-8861-8325C749634E}">
      <dgm:prSet phldrT="[Text]" custT="1"/>
      <dgm:spPr/>
      <dgm:t>
        <a:bodyPr/>
        <a:lstStyle/>
        <a:p>
          <a:pPr algn="ctr"/>
          <a:r>
            <a:rPr lang="en-GB" sz="1100">
              <a:latin typeface="Times New Roman" pitchFamily="18" charset="0"/>
              <a:cs typeface="Times New Roman" pitchFamily="18" charset="0"/>
            </a:rPr>
            <a:t>Design</a:t>
          </a:r>
        </a:p>
      </dgm:t>
    </dgm:pt>
    <dgm:pt modelId="{C517F78B-8A65-4943-8887-02B2E7213874}" type="parTrans" cxnId="{DE6F56E2-9C79-413E-9E35-55C4B3F95CF8}">
      <dgm:prSet/>
      <dgm:spPr/>
      <dgm:t>
        <a:bodyPr/>
        <a:lstStyle/>
        <a:p>
          <a:pPr algn="ctr"/>
          <a:endParaRPr lang="en-GB"/>
        </a:p>
      </dgm:t>
    </dgm:pt>
    <dgm:pt modelId="{D0C41147-3F26-47D2-8E26-7DBA4129F234}" type="sibTrans" cxnId="{DE6F56E2-9C79-413E-9E35-55C4B3F95CF8}">
      <dgm:prSet/>
      <dgm:spPr/>
      <dgm:t>
        <a:bodyPr/>
        <a:lstStyle/>
        <a:p>
          <a:pPr algn="ctr"/>
          <a:endParaRPr lang="en-GB"/>
        </a:p>
      </dgm:t>
    </dgm:pt>
    <dgm:pt modelId="{1E018F91-2D25-472D-BA55-D453E482DCE2}">
      <dgm:prSet phldrT="[Text]" custT="1"/>
      <dgm:spPr/>
      <dgm:t>
        <a:bodyPr/>
        <a:lstStyle/>
        <a:p>
          <a:pPr algn="ctr"/>
          <a:r>
            <a:rPr lang="en-GB" sz="1100">
              <a:latin typeface="Times New Roman" pitchFamily="18" charset="0"/>
              <a:cs typeface="Times New Roman" pitchFamily="18" charset="0"/>
            </a:rPr>
            <a:t>Economic, social and enviornmental context</a:t>
          </a:r>
        </a:p>
      </dgm:t>
    </dgm:pt>
    <dgm:pt modelId="{58E104A1-FB0C-468A-AFE4-08258658CB20}" type="parTrans" cxnId="{677ABA19-14B2-44C3-9E07-446A2DB606DC}">
      <dgm:prSet/>
      <dgm:spPr/>
      <dgm:t>
        <a:bodyPr/>
        <a:lstStyle/>
        <a:p>
          <a:pPr algn="ctr"/>
          <a:endParaRPr lang="en-GB"/>
        </a:p>
      </dgm:t>
    </dgm:pt>
    <dgm:pt modelId="{484292B0-5655-4B07-904D-32BA0827697A}" type="sibTrans" cxnId="{677ABA19-14B2-44C3-9E07-446A2DB606DC}">
      <dgm:prSet/>
      <dgm:spPr/>
      <dgm:t>
        <a:bodyPr/>
        <a:lstStyle/>
        <a:p>
          <a:pPr algn="ctr"/>
          <a:endParaRPr lang="en-GB"/>
        </a:p>
      </dgm:t>
    </dgm:pt>
    <dgm:pt modelId="{BB29D271-7972-4192-A99A-DE3529FE6744}">
      <dgm:prSet phldrT="[Text]" custT="1"/>
      <dgm:spPr/>
      <dgm:t>
        <a:bodyPr/>
        <a:lstStyle/>
        <a:p>
          <a:pPr algn="ctr"/>
          <a:r>
            <a:rPr lang="en-GB" sz="1100">
              <a:latin typeface="Times New Roman" pitchFamily="18" charset="0"/>
              <a:cs typeface="Times New Roman" pitchFamily="18" charset="0"/>
            </a:rPr>
            <a:t>Engineering Practice</a:t>
          </a:r>
        </a:p>
      </dgm:t>
    </dgm:pt>
    <dgm:pt modelId="{01AE07F8-E4DB-4A52-A7BA-DC0A756A5977}" type="parTrans" cxnId="{997857DA-2D9E-48BB-AFAB-DC7BD1610468}">
      <dgm:prSet/>
      <dgm:spPr/>
      <dgm:t>
        <a:bodyPr/>
        <a:lstStyle/>
        <a:p>
          <a:pPr algn="ctr"/>
          <a:endParaRPr lang="en-GB"/>
        </a:p>
      </dgm:t>
    </dgm:pt>
    <dgm:pt modelId="{C9AB7817-2D2F-4650-9948-4F543A1135F5}" type="sibTrans" cxnId="{997857DA-2D9E-48BB-AFAB-DC7BD1610468}">
      <dgm:prSet/>
      <dgm:spPr/>
      <dgm:t>
        <a:bodyPr/>
        <a:lstStyle/>
        <a:p>
          <a:pPr algn="ctr"/>
          <a:endParaRPr lang="en-GB"/>
        </a:p>
      </dgm:t>
    </dgm:pt>
    <dgm:pt modelId="{9E0E38AC-C460-4D50-97CE-616B6027BA69}">
      <dgm:prSet phldrT="[Text]" custT="1"/>
      <dgm:spPr/>
      <dgm:t>
        <a:bodyPr/>
        <a:lstStyle/>
        <a:p>
          <a:pPr algn="ctr"/>
          <a:r>
            <a:rPr lang="en-GB" sz="1100">
              <a:latin typeface="Times New Roman" pitchFamily="18" charset="0"/>
              <a:cs typeface="Times New Roman" pitchFamily="18" charset="0"/>
            </a:rPr>
            <a:t>Key/Transferable Skills</a:t>
          </a:r>
        </a:p>
      </dgm:t>
    </dgm:pt>
    <dgm:pt modelId="{826227CD-DB0C-4430-94B9-521948F0C9DE}" type="parTrans" cxnId="{FFCEEA8A-0B68-4405-93FD-7250B3F6F979}">
      <dgm:prSet/>
      <dgm:spPr/>
      <dgm:t>
        <a:bodyPr/>
        <a:lstStyle/>
        <a:p>
          <a:pPr algn="ctr"/>
          <a:endParaRPr lang="en-GB"/>
        </a:p>
      </dgm:t>
    </dgm:pt>
    <dgm:pt modelId="{78594DA7-7C28-4936-9771-BB21594D827A}" type="sibTrans" cxnId="{FFCEEA8A-0B68-4405-93FD-7250B3F6F979}">
      <dgm:prSet/>
      <dgm:spPr/>
      <dgm:t>
        <a:bodyPr/>
        <a:lstStyle/>
        <a:p>
          <a:pPr algn="ctr"/>
          <a:endParaRPr lang="en-GB"/>
        </a:p>
      </dgm:t>
    </dgm:pt>
    <dgm:pt modelId="{BFA10B01-5067-4066-980B-58D85118FA78}">
      <dgm:prSet phldrT="[Text]" custT="1"/>
      <dgm:spPr/>
      <dgm:t>
        <a:bodyPr/>
        <a:lstStyle/>
        <a:p>
          <a:pPr algn="ctr"/>
          <a:r>
            <a:rPr lang="en-GB" sz="1100">
              <a:latin typeface="Times New Roman" pitchFamily="18" charset="0"/>
              <a:cs typeface="Times New Roman" pitchFamily="18" charset="0"/>
            </a:rPr>
            <a:t>Engineering Analysis</a:t>
          </a:r>
        </a:p>
      </dgm:t>
    </dgm:pt>
    <dgm:pt modelId="{F6A8D5B6-0903-46C2-A333-529B4747F555}" type="parTrans" cxnId="{B73BB0FC-EF8A-4F2F-B693-BB628CA32AA8}">
      <dgm:prSet/>
      <dgm:spPr/>
      <dgm:t>
        <a:bodyPr/>
        <a:lstStyle/>
        <a:p>
          <a:pPr algn="ctr"/>
          <a:endParaRPr lang="en-GB"/>
        </a:p>
      </dgm:t>
    </dgm:pt>
    <dgm:pt modelId="{E2B24247-F277-485B-A00B-6ABEB2B05527}" type="sibTrans" cxnId="{B73BB0FC-EF8A-4F2F-B693-BB628CA32AA8}">
      <dgm:prSet/>
      <dgm:spPr/>
      <dgm:t>
        <a:bodyPr/>
        <a:lstStyle/>
        <a:p>
          <a:pPr algn="ctr"/>
          <a:endParaRPr lang="en-GB"/>
        </a:p>
      </dgm:t>
    </dgm:pt>
    <dgm:pt modelId="{F62B718C-268D-4BDE-B83B-2B0C170D16CA}">
      <dgm:prSet phldrT="[Text]" custT="1"/>
      <dgm:spPr/>
      <dgm:t>
        <a:bodyPr/>
        <a:lstStyle/>
        <a:p>
          <a:pPr algn="ctr"/>
          <a:r>
            <a:rPr lang="en-GB" sz="1100">
              <a:latin typeface="Times New Roman" pitchFamily="18" charset="0"/>
              <a:cs typeface="Times New Roman" pitchFamily="18" charset="0"/>
            </a:rPr>
            <a:t>Engineerng Design</a:t>
          </a:r>
        </a:p>
      </dgm:t>
    </dgm:pt>
    <dgm:pt modelId="{0CE4FF54-BCA0-4702-B5AE-464DA784833C}" type="parTrans" cxnId="{5FFF9685-AD14-4305-A509-B968A2E2B0D3}">
      <dgm:prSet/>
      <dgm:spPr/>
      <dgm:t>
        <a:bodyPr/>
        <a:lstStyle/>
        <a:p>
          <a:pPr algn="ctr"/>
          <a:endParaRPr lang="en-GB"/>
        </a:p>
      </dgm:t>
    </dgm:pt>
    <dgm:pt modelId="{5735B9DC-7275-4D1F-9784-3BFC6B7E3A6E}" type="sibTrans" cxnId="{5FFF9685-AD14-4305-A509-B968A2E2B0D3}">
      <dgm:prSet/>
      <dgm:spPr/>
      <dgm:t>
        <a:bodyPr/>
        <a:lstStyle/>
        <a:p>
          <a:pPr algn="ctr"/>
          <a:endParaRPr lang="en-GB"/>
        </a:p>
      </dgm:t>
    </dgm:pt>
    <dgm:pt modelId="{A96857E0-BFAD-4DBC-A450-0305F8EE8C9D}">
      <dgm:prSet phldrT="[Text]" custT="1"/>
      <dgm:spPr/>
      <dgm:t>
        <a:bodyPr/>
        <a:lstStyle/>
        <a:p>
          <a:pPr algn="ctr"/>
          <a:r>
            <a:rPr lang="en-GB" sz="1100">
              <a:latin typeface="Times New Roman" pitchFamily="18" charset="0"/>
              <a:cs typeface="Times New Roman" pitchFamily="18" charset="0"/>
            </a:rPr>
            <a:t>Investigations</a:t>
          </a:r>
        </a:p>
      </dgm:t>
    </dgm:pt>
    <dgm:pt modelId="{8CDCE404-3EE3-486E-AAB0-CFC977E5C498}" type="parTrans" cxnId="{48303ABF-A8B2-4823-A505-2A962EC35D16}">
      <dgm:prSet/>
      <dgm:spPr/>
      <dgm:t>
        <a:bodyPr/>
        <a:lstStyle/>
        <a:p>
          <a:pPr algn="ctr"/>
          <a:endParaRPr lang="en-GB"/>
        </a:p>
      </dgm:t>
    </dgm:pt>
    <dgm:pt modelId="{8EA00116-C9AD-4850-AF0E-5C4E14DCBC10}" type="sibTrans" cxnId="{48303ABF-A8B2-4823-A505-2A962EC35D16}">
      <dgm:prSet/>
      <dgm:spPr/>
      <dgm:t>
        <a:bodyPr/>
        <a:lstStyle/>
        <a:p>
          <a:pPr algn="ctr"/>
          <a:endParaRPr lang="en-GB"/>
        </a:p>
      </dgm:t>
    </dgm:pt>
    <dgm:pt modelId="{64A7938E-8354-4327-B595-4F129F64AB62}">
      <dgm:prSet phldrT="[Text]" custT="1"/>
      <dgm:spPr/>
      <dgm:t>
        <a:bodyPr/>
        <a:lstStyle/>
        <a:p>
          <a:pPr algn="ctr"/>
          <a:r>
            <a:rPr lang="en-GB" sz="1100">
              <a:latin typeface="Times New Roman" pitchFamily="18" charset="0"/>
              <a:cs typeface="Times New Roman" pitchFamily="18" charset="0"/>
            </a:rPr>
            <a:t>Engineering Practice</a:t>
          </a:r>
        </a:p>
      </dgm:t>
    </dgm:pt>
    <dgm:pt modelId="{214B3240-4A1F-448C-B94D-E320EACC82C6}" type="parTrans" cxnId="{CD5D41C8-6560-46FB-966B-C9B1F098FD8E}">
      <dgm:prSet/>
      <dgm:spPr/>
      <dgm:t>
        <a:bodyPr/>
        <a:lstStyle/>
        <a:p>
          <a:pPr algn="ctr"/>
          <a:endParaRPr lang="en-GB"/>
        </a:p>
      </dgm:t>
    </dgm:pt>
    <dgm:pt modelId="{12634414-4E11-42DC-AA65-35D1E58140C0}" type="sibTrans" cxnId="{CD5D41C8-6560-46FB-966B-C9B1F098FD8E}">
      <dgm:prSet/>
      <dgm:spPr/>
      <dgm:t>
        <a:bodyPr/>
        <a:lstStyle/>
        <a:p>
          <a:pPr algn="ctr"/>
          <a:endParaRPr lang="en-GB"/>
        </a:p>
      </dgm:t>
    </dgm:pt>
    <dgm:pt modelId="{6DFF6050-3B6B-4993-86A8-8A75227BFDEA}">
      <dgm:prSet phldrT="[Text]" custT="1"/>
      <dgm:spPr/>
      <dgm:t>
        <a:bodyPr/>
        <a:lstStyle/>
        <a:p>
          <a:pPr algn="ctr"/>
          <a:r>
            <a:rPr lang="en-GB" sz="1100">
              <a:latin typeface="Times New Roman" pitchFamily="18" charset="0"/>
              <a:cs typeface="Times New Roman" pitchFamily="18" charset="0"/>
            </a:rPr>
            <a:t>Transferable Skills</a:t>
          </a:r>
        </a:p>
      </dgm:t>
    </dgm:pt>
    <dgm:pt modelId="{FDE1A924-FBF9-40B2-94A6-5E0F1F3B6361}" type="parTrans" cxnId="{B6DA33AE-BF64-4A1D-B80F-FF708F7D2EA6}">
      <dgm:prSet/>
      <dgm:spPr/>
      <dgm:t>
        <a:bodyPr/>
        <a:lstStyle/>
        <a:p>
          <a:pPr algn="ctr"/>
          <a:endParaRPr lang="en-GB"/>
        </a:p>
      </dgm:t>
    </dgm:pt>
    <dgm:pt modelId="{916365F2-ABA4-4361-95D8-6F62274D6786}" type="sibTrans" cxnId="{B6DA33AE-BF64-4A1D-B80F-FF708F7D2EA6}">
      <dgm:prSet/>
      <dgm:spPr/>
      <dgm:t>
        <a:bodyPr/>
        <a:lstStyle/>
        <a:p>
          <a:pPr algn="ctr"/>
          <a:endParaRPr lang="en-GB"/>
        </a:p>
      </dgm:t>
    </dgm:pt>
    <dgm:pt modelId="{B3BD26E3-62B3-4DD0-B83B-9EF99C911519}" type="pres">
      <dgm:prSet presAssocID="{D891C690-2710-4902-A32F-00B54984FB36}" presName="theList" presStyleCnt="0">
        <dgm:presLayoutVars>
          <dgm:dir/>
          <dgm:animLvl val="lvl"/>
          <dgm:resizeHandles val="exact"/>
        </dgm:presLayoutVars>
      </dgm:prSet>
      <dgm:spPr/>
      <dgm:t>
        <a:bodyPr/>
        <a:lstStyle/>
        <a:p>
          <a:endParaRPr lang="en-GB"/>
        </a:p>
      </dgm:t>
    </dgm:pt>
    <dgm:pt modelId="{BD161DCA-0229-4DB9-85A7-03FF0BB89718}" type="pres">
      <dgm:prSet presAssocID="{EF79B931-C95B-485A-B427-F810392DCA8C}" presName="compNode" presStyleCnt="0"/>
      <dgm:spPr/>
    </dgm:pt>
    <dgm:pt modelId="{0E1AF899-80DE-4E8D-B84F-DF2C128C1429}" type="pres">
      <dgm:prSet presAssocID="{EF79B931-C95B-485A-B427-F810392DCA8C}" presName="aNode" presStyleLbl="bgShp" presStyleIdx="0" presStyleCnt="2"/>
      <dgm:spPr/>
      <dgm:t>
        <a:bodyPr/>
        <a:lstStyle/>
        <a:p>
          <a:endParaRPr lang="en-GB"/>
        </a:p>
      </dgm:t>
    </dgm:pt>
    <dgm:pt modelId="{C0FB647F-06AE-4014-922E-56F50B663B57}" type="pres">
      <dgm:prSet presAssocID="{EF79B931-C95B-485A-B427-F810392DCA8C}" presName="textNode" presStyleLbl="bgShp" presStyleIdx="0" presStyleCnt="2"/>
      <dgm:spPr/>
      <dgm:t>
        <a:bodyPr/>
        <a:lstStyle/>
        <a:p>
          <a:endParaRPr lang="en-GB"/>
        </a:p>
      </dgm:t>
    </dgm:pt>
    <dgm:pt modelId="{8B34979F-09DF-4AA4-9CDC-F308B235F94D}" type="pres">
      <dgm:prSet presAssocID="{EF79B931-C95B-485A-B427-F810392DCA8C}" presName="compChildNode" presStyleCnt="0"/>
      <dgm:spPr/>
    </dgm:pt>
    <dgm:pt modelId="{F2134DDD-D148-409F-BAB8-A9A430172F0F}" type="pres">
      <dgm:prSet presAssocID="{EF79B931-C95B-485A-B427-F810392DCA8C}" presName="theInnerList" presStyleCnt="0"/>
      <dgm:spPr/>
    </dgm:pt>
    <dgm:pt modelId="{27B990BA-C6C8-47EE-8C75-AE7D8850303E}" type="pres">
      <dgm:prSet presAssocID="{77900CF5-A944-4D7B-B279-69F58CDD62EA}" presName="childNode" presStyleLbl="node1" presStyleIdx="0" presStyleCnt="12">
        <dgm:presLayoutVars>
          <dgm:bulletEnabled val="1"/>
        </dgm:presLayoutVars>
      </dgm:prSet>
      <dgm:spPr/>
      <dgm:t>
        <a:bodyPr/>
        <a:lstStyle/>
        <a:p>
          <a:endParaRPr lang="en-GB"/>
        </a:p>
      </dgm:t>
    </dgm:pt>
    <dgm:pt modelId="{18A3B1B0-E29C-4300-A844-F22B251694B9}" type="pres">
      <dgm:prSet presAssocID="{77900CF5-A944-4D7B-B279-69F58CDD62EA}" presName="aSpace2" presStyleCnt="0"/>
      <dgm:spPr/>
    </dgm:pt>
    <dgm:pt modelId="{2BBEE999-2B5A-4DBC-8DA0-B80144AAAC15}" type="pres">
      <dgm:prSet presAssocID="{318480FB-4AE5-419A-B20E-3C4617866D20}" presName="childNode" presStyleLbl="node1" presStyleIdx="1" presStyleCnt="12">
        <dgm:presLayoutVars>
          <dgm:bulletEnabled val="1"/>
        </dgm:presLayoutVars>
      </dgm:prSet>
      <dgm:spPr/>
      <dgm:t>
        <a:bodyPr/>
        <a:lstStyle/>
        <a:p>
          <a:endParaRPr lang="en-GB"/>
        </a:p>
      </dgm:t>
    </dgm:pt>
    <dgm:pt modelId="{806C212F-D398-455F-9B3D-870E20DFE07C}" type="pres">
      <dgm:prSet presAssocID="{318480FB-4AE5-419A-B20E-3C4617866D20}" presName="aSpace2" presStyleCnt="0"/>
      <dgm:spPr/>
    </dgm:pt>
    <dgm:pt modelId="{9C1E207F-0680-40A6-873C-016445C4C2F5}" type="pres">
      <dgm:prSet presAssocID="{B34C4584-0E52-45BA-8861-8325C749634E}" presName="childNode" presStyleLbl="node1" presStyleIdx="2" presStyleCnt="12">
        <dgm:presLayoutVars>
          <dgm:bulletEnabled val="1"/>
        </dgm:presLayoutVars>
      </dgm:prSet>
      <dgm:spPr/>
      <dgm:t>
        <a:bodyPr/>
        <a:lstStyle/>
        <a:p>
          <a:endParaRPr lang="en-GB"/>
        </a:p>
      </dgm:t>
    </dgm:pt>
    <dgm:pt modelId="{F7DFD89B-DD39-4989-A714-8A6A3CD62EA8}" type="pres">
      <dgm:prSet presAssocID="{B34C4584-0E52-45BA-8861-8325C749634E}" presName="aSpace2" presStyleCnt="0"/>
      <dgm:spPr/>
    </dgm:pt>
    <dgm:pt modelId="{021EBEE8-5BBF-4E62-9112-106B3E2DE6CA}" type="pres">
      <dgm:prSet presAssocID="{1E018F91-2D25-472D-BA55-D453E482DCE2}" presName="childNode" presStyleLbl="node1" presStyleIdx="3" presStyleCnt="12">
        <dgm:presLayoutVars>
          <dgm:bulletEnabled val="1"/>
        </dgm:presLayoutVars>
      </dgm:prSet>
      <dgm:spPr/>
      <dgm:t>
        <a:bodyPr/>
        <a:lstStyle/>
        <a:p>
          <a:endParaRPr lang="en-GB"/>
        </a:p>
      </dgm:t>
    </dgm:pt>
    <dgm:pt modelId="{32A1683A-35D9-4938-9EAC-98B1A8B2A4CA}" type="pres">
      <dgm:prSet presAssocID="{1E018F91-2D25-472D-BA55-D453E482DCE2}" presName="aSpace2" presStyleCnt="0"/>
      <dgm:spPr/>
    </dgm:pt>
    <dgm:pt modelId="{641257AB-2643-4453-8CCD-4BFFAC0C10A4}" type="pres">
      <dgm:prSet presAssocID="{BB29D271-7972-4192-A99A-DE3529FE6744}" presName="childNode" presStyleLbl="node1" presStyleIdx="4" presStyleCnt="12">
        <dgm:presLayoutVars>
          <dgm:bulletEnabled val="1"/>
        </dgm:presLayoutVars>
      </dgm:prSet>
      <dgm:spPr/>
      <dgm:t>
        <a:bodyPr/>
        <a:lstStyle/>
        <a:p>
          <a:endParaRPr lang="en-GB"/>
        </a:p>
      </dgm:t>
    </dgm:pt>
    <dgm:pt modelId="{39BB8AA6-FF18-4436-AA57-81E70D29BE5D}" type="pres">
      <dgm:prSet presAssocID="{BB29D271-7972-4192-A99A-DE3529FE6744}" presName="aSpace2" presStyleCnt="0"/>
      <dgm:spPr/>
    </dgm:pt>
    <dgm:pt modelId="{D7A14245-BBC8-464C-BCAD-914F9A3905A6}" type="pres">
      <dgm:prSet presAssocID="{9E0E38AC-C460-4D50-97CE-616B6027BA69}" presName="childNode" presStyleLbl="node1" presStyleIdx="5" presStyleCnt="12">
        <dgm:presLayoutVars>
          <dgm:bulletEnabled val="1"/>
        </dgm:presLayoutVars>
      </dgm:prSet>
      <dgm:spPr/>
      <dgm:t>
        <a:bodyPr/>
        <a:lstStyle/>
        <a:p>
          <a:endParaRPr lang="en-GB"/>
        </a:p>
      </dgm:t>
    </dgm:pt>
    <dgm:pt modelId="{388D4AB2-2C2D-4158-B59C-AA32E5D32CAC}" type="pres">
      <dgm:prSet presAssocID="{EF79B931-C95B-485A-B427-F810392DCA8C}" presName="aSpace" presStyleCnt="0"/>
      <dgm:spPr/>
    </dgm:pt>
    <dgm:pt modelId="{B28C2CE5-81F9-46E1-8D6D-38DEFF15D40E}" type="pres">
      <dgm:prSet presAssocID="{98CC76EC-1575-4FF8-A2A4-51518AEF177B}" presName="compNode" presStyleCnt="0"/>
      <dgm:spPr/>
    </dgm:pt>
    <dgm:pt modelId="{3769DCC1-3CB0-4AD8-9ED5-745CD34DC800}" type="pres">
      <dgm:prSet presAssocID="{98CC76EC-1575-4FF8-A2A4-51518AEF177B}" presName="aNode" presStyleLbl="bgShp" presStyleIdx="1" presStyleCnt="2"/>
      <dgm:spPr/>
      <dgm:t>
        <a:bodyPr/>
        <a:lstStyle/>
        <a:p>
          <a:endParaRPr lang="en-GB"/>
        </a:p>
      </dgm:t>
    </dgm:pt>
    <dgm:pt modelId="{403D0FBC-E4F3-40F2-BCCC-D95C9046D23D}" type="pres">
      <dgm:prSet presAssocID="{98CC76EC-1575-4FF8-A2A4-51518AEF177B}" presName="textNode" presStyleLbl="bgShp" presStyleIdx="1" presStyleCnt="2"/>
      <dgm:spPr/>
      <dgm:t>
        <a:bodyPr/>
        <a:lstStyle/>
        <a:p>
          <a:endParaRPr lang="en-GB"/>
        </a:p>
      </dgm:t>
    </dgm:pt>
    <dgm:pt modelId="{594F796B-DC1A-4066-A569-F2E9ADF05FBE}" type="pres">
      <dgm:prSet presAssocID="{98CC76EC-1575-4FF8-A2A4-51518AEF177B}" presName="compChildNode" presStyleCnt="0"/>
      <dgm:spPr/>
    </dgm:pt>
    <dgm:pt modelId="{3AF1A95E-2134-4B1A-95AC-A484B32C9663}" type="pres">
      <dgm:prSet presAssocID="{98CC76EC-1575-4FF8-A2A4-51518AEF177B}" presName="theInnerList" presStyleCnt="0"/>
      <dgm:spPr/>
    </dgm:pt>
    <dgm:pt modelId="{A836F537-7E18-4B47-A139-DE45498D6779}" type="pres">
      <dgm:prSet presAssocID="{A7638523-B25F-423A-B469-BDE36A222880}" presName="childNode" presStyleLbl="node1" presStyleIdx="6" presStyleCnt="12">
        <dgm:presLayoutVars>
          <dgm:bulletEnabled val="1"/>
        </dgm:presLayoutVars>
      </dgm:prSet>
      <dgm:spPr/>
      <dgm:t>
        <a:bodyPr/>
        <a:lstStyle/>
        <a:p>
          <a:endParaRPr lang="en-GB"/>
        </a:p>
      </dgm:t>
    </dgm:pt>
    <dgm:pt modelId="{17C454EB-2215-41B5-A9FB-3B35662E0FF9}" type="pres">
      <dgm:prSet presAssocID="{A7638523-B25F-423A-B469-BDE36A222880}" presName="aSpace2" presStyleCnt="0"/>
      <dgm:spPr/>
    </dgm:pt>
    <dgm:pt modelId="{8357D646-F198-4430-8B6B-EA837C985DDA}" type="pres">
      <dgm:prSet presAssocID="{BFA10B01-5067-4066-980B-58D85118FA78}" presName="childNode" presStyleLbl="node1" presStyleIdx="7" presStyleCnt="12">
        <dgm:presLayoutVars>
          <dgm:bulletEnabled val="1"/>
        </dgm:presLayoutVars>
      </dgm:prSet>
      <dgm:spPr/>
      <dgm:t>
        <a:bodyPr/>
        <a:lstStyle/>
        <a:p>
          <a:endParaRPr lang="en-GB"/>
        </a:p>
      </dgm:t>
    </dgm:pt>
    <dgm:pt modelId="{9BB76C57-B234-4C08-A4ED-52724DB651B7}" type="pres">
      <dgm:prSet presAssocID="{BFA10B01-5067-4066-980B-58D85118FA78}" presName="aSpace2" presStyleCnt="0"/>
      <dgm:spPr/>
    </dgm:pt>
    <dgm:pt modelId="{672F0C79-0BF5-426A-9873-B2E1436AE88F}" type="pres">
      <dgm:prSet presAssocID="{F62B718C-268D-4BDE-B83B-2B0C170D16CA}" presName="childNode" presStyleLbl="node1" presStyleIdx="8" presStyleCnt="12">
        <dgm:presLayoutVars>
          <dgm:bulletEnabled val="1"/>
        </dgm:presLayoutVars>
      </dgm:prSet>
      <dgm:spPr/>
      <dgm:t>
        <a:bodyPr/>
        <a:lstStyle/>
        <a:p>
          <a:endParaRPr lang="en-GB"/>
        </a:p>
      </dgm:t>
    </dgm:pt>
    <dgm:pt modelId="{42A01173-8C53-4827-A6BE-E09EBBDC4ED5}" type="pres">
      <dgm:prSet presAssocID="{F62B718C-268D-4BDE-B83B-2B0C170D16CA}" presName="aSpace2" presStyleCnt="0"/>
      <dgm:spPr/>
    </dgm:pt>
    <dgm:pt modelId="{D7CF0F53-721D-4F87-8B56-0DFAEA1AE35F}" type="pres">
      <dgm:prSet presAssocID="{A96857E0-BFAD-4DBC-A450-0305F8EE8C9D}" presName="childNode" presStyleLbl="node1" presStyleIdx="9" presStyleCnt="12">
        <dgm:presLayoutVars>
          <dgm:bulletEnabled val="1"/>
        </dgm:presLayoutVars>
      </dgm:prSet>
      <dgm:spPr/>
      <dgm:t>
        <a:bodyPr/>
        <a:lstStyle/>
        <a:p>
          <a:endParaRPr lang="en-GB"/>
        </a:p>
      </dgm:t>
    </dgm:pt>
    <dgm:pt modelId="{27680357-2F0C-483F-A755-7DF96C58020E}" type="pres">
      <dgm:prSet presAssocID="{A96857E0-BFAD-4DBC-A450-0305F8EE8C9D}" presName="aSpace2" presStyleCnt="0"/>
      <dgm:spPr/>
    </dgm:pt>
    <dgm:pt modelId="{EBD67121-7728-4493-90C4-A23684CCBF24}" type="pres">
      <dgm:prSet presAssocID="{64A7938E-8354-4327-B595-4F129F64AB62}" presName="childNode" presStyleLbl="node1" presStyleIdx="10" presStyleCnt="12">
        <dgm:presLayoutVars>
          <dgm:bulletEnabled val="1"/>
        </dgm:presLayoutVars>
      </dgm:prSet>
      <dgm:spPr/>
      <dgm:t>
        <a:bodyPr/>
        <a:lstStyle/>
        <a:p>
          <a:endParaRPr lang="en-GB"/>
        </a:p>
      </dgm:t>
    </dgm:pt>
    <dgm:pt modelId="{BEE8DBB3-740A-4C92-AFCE-2EB6D48F85DD}" type="pres">
      <dgm:prSet presAssocID="{64A7938E-8354-4327-B595-4F129F64AB62}" presName="aSpace2" presStyleCnt="0"/>
      <dgm:spPr/>
    </dgm:pt>
    <dgm:pt modelId="{4D3E1572-603B-494E-BA0A-0EC586C475F3}" type="pres">
      <dgm:prSet presAssocID="{6DFF6050-3B6B-4993-86A8-8A75227BFDEA}" presName="childNode" presStyleLbl="node1" presStyleIdx="11" presStyleCnt="12">
        <dgm:presLayoutVars>
          <dgm:bulletEnabled val="1"/>
        </dgm:presLayoutVars>
      </dgm:prSet>
      <dgm:spPr/>
      <dgm:t>
        <a:bodyPr/>
        <a:lstStyle/>
        <a:p>
          <a:endParaRPr lang="en-GB"/>
        </a:p>
      </dgm:t>
    </dgm:pt>
  </dgm:ptLst>
  <dgm:cxnLst>
    <dgm:cxn modelId="{8E6B0A48-76E5-4B65-8CA3-9732097E192B}" type="presOf" srcId="{B34C4584-0E52-45BA-8861-8325C749634E}" destId="{9C1E207F-0680-40A6-873C-016445C4C2F5}" srcOrd="0" destOrd="0" presId="urn:microsoft.com/office/officeart/2005/8/layout/lProcess2"/>
    <dgm:cxn modelId="{8713E9FB-0301-43BA-B1A9-A54C9E039C05}" type="presOf" srcId="{77900CF5-A944-4D7B-B279-69F58CDD62EA}" destId="{27B990BA-C6C8-47EE-8C75-AE7D8850303E}" srcOrd="0" destOrd="0" presId="urn:microsoft.com/office/officeart/2005/8/layout/lProcess2"/>
    <dgm:cxn modelId="{279CB3F9-7DD3-4BC5-960A-C51F135F50A3}" type="presOf" srcId="{BB29D271-7972-4192-A99A-DE3529FE6744}" destId="{641257AB-2643-4453-8CCD-4BFFAC0C10A4}" srcOrd="0" destOrd="0" presId="urn:microsoft.com/office/officeart/2005/8/layout/lProcess2"/>
    <dgm:cxn modelId="{5FFF9685-AD14-4305-A509-B968A2E2B0D3}" srcId="{98CC76EC-1575-4FF8-A2A4-51518AEF177B}" destId="{F62B718C-268D-4BDE-B83B-2B0C170D16CA}" srcOrd="2" destOrd="0" parTransId="{0CE4FF54-BCA0-4702-B5AE-464DA784833C}" sibTransId="{5735B9DC-7275-4D1F-9784-3BFC6B7E3A6E}"/>
    <dgm:cxn modelId="{FFCEEA8A-0B68-4405-93FD-7250B3F6F979}" srcId="{EF79B931-C95B-485A-B427-F810392DCA8C}" destId="{9E0E38AC-C460-4D50-97CE-616B6027BA69}" srcOrd="5" destOrd="0" parTransId="{826227CD-DB0C-4430-94B9-521948F0C9DE}" sibTransId="{78594DA7-7C28-4936-9771-BB21594D827A}"/>
    <dgm:cxn modelId="{D3A26067-7146-4DEC-8775-6DA3AE7BAC78}" type="presOf" srcId="{EF79B931-C95B-485A-B427-F810392DCA8C}" destId="{0E1AF899-80DE-4E8D-B84F-DF2C128C1429}" srcOrd="0" destOrd="0" presId="urn:microsoft.com/office/officeart/2005/8/layout/lProcess2"/>
    <dgm:cxn modelId="{677ABA19-14B2-44C3-9E07-446A2DB606DC}" srcId="{EF79B931-C95B-485A-B427-F810392DCA8C}" destId="{1E018F91-2D25-472D-BA55-D453E482DCE2}" srcOrd="3" destOrd="0" parTransId="{58E104A1-FB0C-468A-AFE4-08258658CB20}" sibTransId="{484292B0-5655-4B07-904D-32BA0827697A}"/>
    <dgm:cxn modelId="{47FAD426-2021-421A-B51E-004BA90A1A29}" type="presOf" srcId="{F62B718C-268D-4BDE-B83B-2B0C170D16CA}" destId="{672F0C79-0BF5-426A-9873-B2E1436AE88F}" srcOrd="0" destOrd="0" presId="urn:microsoft.com/office/officeart/2005/8/layout/lProcess2"/>
    <dgm:cxn modelId="{E46C4354-0875-49B5-8C5A-7599763712CA}" type="presOf" srcId="{BFA10B01-5067-4066-980B-58D85118FA78}" destId="{8357D646-F198-4430-8B6B-EA837C985DDA}" srcOrd="0" destOrd="0" presId="urn:microsoft.com/office/officeart/2005/8/layout/lProcess2"/>
    <dgm:cxn modelId="{AF98F455-F1AD-4E6D-8DA8-4C726444DD0D}" type="presOf" srcId="{A7638523-B25F-423A-B469-BDE36A222880}" destId="{A836F537-7E18-4B47-A139-DE45498D6779}" srcOrd="0" destOrd="0" presId="urn:microsoft.com/office/officeart/2005/8/layout/lProcess2"/>
    <dgm:cxn modelId="{B6DA33AE-BF64-4A1D-B80F-FF708F7D2EA6}" srcId="{98CC76EC-1575-4FF8-A2A4-51518AEF177B}" destId="{6DFF6050-3B6B-4993-86A8-8A75227BFDEA}" srcOrd="5" destOrd="0" parTransId="{FDE1A924-FBF9-40B2-94A6-5E0F1F3B6361}" sibTransId="{916365F2-ABA4-4361-95D8-6F62274D6786}"/>
    <dgm:cxn modelId="{DE6F56E2-9C79-413E-9E35-55C4B3F95CF8}" srcId="{EF79B931-C95B-485A-B427-F810392DCA8C}" destId="{B34C4584-0E52-45BA-8861-8325C749634E}" srcOrd="2" destOrd="0" parTransId="{C517F78B-8A65-4943-8887-02B2E7213874}" sibTransId="{D0C41147-3F26-47D2-8E26-7DBA4129F234}"/>
    <dgm:cxn modelId="{8279ECDC-0EBC-4A19-A2C4-FD04A99323F2}" type="presOf" srcId="{318480FB-4AE5-419A-B20E-3C4617866D20}" destId="{2BBEE999-2B5A-4DBC-8DA0-B80144AAAC15}" srcOrd="0" destOrd="0" presId="urn:microsoft.com/office/officeart/2005/8/layout/lProcess2"/>
    <dgm:cxn modelId="{6C33FB11-162D-4AB0-93A0-74FE7F048C6C}" srcId="{EF79B931-C95B-485A-B427-F810392DCA8C}" destId="{77900CF5-A944-4D7B-B279-69F58CDD62EA}" srcOrd="0" destOrd="0" parTransId="{8CB2F551-CD78-43CA-BAC6-B8EF62031F99}" sibTransId="{640FD05A-AA08-4726-B9B8-CC806384F00D}"/>
    <dgm:cxn modelId="{6F48CD92-7B74-4C4C-90FA-483853A5F529}" type="presOf" srcId="{9E0E38AC-C460-4D50-97CE-616B6027BA69}" destId="{D7A14245-BBC8-464C-BCAD-914F9A3905A6}" srcOrd="0" destOrd="0" presId="urn:microsoft.com/office/officeart/2005/8/layout/lProcess2"/>
    <dgm:cxn modelId="{345D05C9-2F28-4A8F-ABCA-9EC4786B86DF}" type="presOf" srcId="{EF79B931-C95B-485A-B427-F810392DCA8C}" destId="{C0FB647F-06AE-4014-922E-56F50B663B57}" srcOrd="1" destOrd="0" presId="urn:microsoft.com/office/officeart/2005/8/layout/lProcess2"/>
    <dgm:cxn modelId="{A9FFDA49-3920-4E3A-9B88-49221D8E81F6}" srcId="{98CC76EC-1575-4FF8-A2A4-51518AEF177B}" destId="{A7638523-B25F-423A-B469-BDE36A222880}" srcOrd="0" destOrd="0" parTransId="{526E622C-C954-40AC-AC2C-97EED7741C89}" sibTransId="{E572F3C2-8661-411E-A896-CA4F5EC0E29D}"/>
    <dgm:cxn modelId="{48FE721A-E7DE-4220-BE98-8EFF17D44A78}" srcId="{D891C690-2710-4902-A32F-00B54984FB36}" destId="{98CC76EC-1575-4FF8-A2A4-51518AEF177B}" srcOrd="1" destOrd="0" parTransId="{BF149505-8C58-4D27-A92B-F961437DC948}" sibTransId="{4E5E978A-48B1-4F3C-BF96-2816BB94BB64}"/>
    <dgm:cxn modelId="{1412DC53-48F4-46C3-BE3F-D3772C947156}" type="presOf" srcId="{6DFF6050-3B6B-4993-86A8-8A75227BFDEA}" destId="{4D3E1572-603B-494E-BA0A-0EC586C475F3}" srcOrd="0" destOrd="0" presId="urn:microsoft.com/office/officeart/2005/8/layout/lProcess2"/>
    <dgm:cxn modelId="{B73BB0FC-EF8A-4F2F-B693-BB628CA32AA8}" srcId="{98CC76EC-1575-4FF8-A2A4-51518AEF177B}" destId="{BFA10B01-5067-4066-980B-58D85118FA78}" srcOrd="1" destOrd="0" parTransId="{F6A8D5B6-0903-46C2-A333-529B4747F555}" sibTransId="{E2B24247-F277-485B-A00B-6ABEB2B05527}"/>
    <dgm:cxn modelId="{876CBCE5-6315-4BB2-A4F2-400E5D34B437}" type="presOf" srcId="{D891C690-2710-4902-A32F-00B54984FB36}" destId="{B3BD26E3-62B3-4DD0-B83B-9EF99C911519}" srcOrd="0" destOrd="0" presId="urn:microsoft.com/office/officeart/2005/8/layout/lProcess2"/>
    <dgm:cxn modelId="{BA625C8D-9DCF-45A9-ADEC-4C9E9654ED09}" srcId="{D891C690-2710-4902-A32F-00B54984FB36}" destId="{EF79B931-C95B-485A-B427-F810392DCA8C}" srcOrd="0" destOrd="0" parTransId="{690B022B-34EC-4913-8563-363451A26DDA}" sibTransId="{6724EE25-319B-4898-B361-6D915E6AF76B}"/>
    <dgm:cxn modelId="{C7CC41FD-9F5D-4D00-BACE-CD0F61DA708E}" type="presOf" srcId="{98CC76EC-1575-4FF8-A2A4-51518AEF177B}" destId="{403D0FBC-E4F3-40F2-BCCC-D95C9046D23D}" srcOrd="1" destOrd="0" presId="urn:microsoft.com/office/officeart/2005/8/layout/lProcess2"/>
    <dgm:cxn modelId="{1E3A333F-F424-48B1-95E8-3A92D6D0ED49}" srcId="{EF79B931-C95B-485A-B427-F810392DCA8C}" destId="{318480FB-4AE5-419A-B20E-3C4617866D20}" srcOrd="1" destOrd="0" parTransId="{616D753C-148B-4B6D-A995-88C36165326E}" sibTransId="{FEA7FEBF-D04B-49F1-B912-5422FC8291A6}"/>
    <dgm:cxn modelId="{5C1C0C14-40C2-417C-BE20-031D7F1C6F3F}" type="presOf" srcId="{1E018F91-2D25-472D-BA55-D453E482DCE2}" destId="{021EBEE8-5BBF-4E62-9112-106B3E2DE6CA}" srcOrd="0" destOrd="0" presId="urn:microsoft.com/office/officeart/2005/8/layout/lProcess2"/>
    <dgm:cxn modelId="{CD5D41C8-6560-46FB-966B-C9B1F098FD8E}" srcId="{98CC76EC-1575-4FF8-A2A4-51518AEF177B}" destId="{64A7938E-8354-4327-B595-4F129F64AB62}" srcOrd="4" destOrd="0" parTransId="{214B3240-4A1F-448C-B94D-E320EACC82C6}" sibTransId="{12634414-4E11-42DC-AA65-35D1E58140C0}"/>
    <dgm:cxn modelId="{7770D4A8-492F-430A-9DFE-4B4DB168BD3A}" type="presOf" srcId="{98CC76EC-1575-4FF8-A2A4-51518AEF177B}" destId="{3769DCC1-3CB0-4AD8-9ED5-745CD34DC800}" srcOrd="0" destOrd="0" presId="urn:microsoft.com/office/officeart/2005/8/layout/lProcess2"/>
    <dgm:cxn modelId="{7F45E905-E53E-4CA5-9C27-ADF084E2FB52}" type="presOf" srcId="{64A7938E-8354-4327-B595-4F129F64AB62}" destId="{EBD67121-7728-4493-90C4-A23684CCBF24}" srcOrd="0" destOrd="0" presId="urn:microsoft.com/office/officeart/2005/8/layout/lProcess2"/>
    <dgm:cxn modelId="{C371F736-9B25-482D-8D85-78F4173119A6}" type="presOf" srcId="{A96857E0-BFAD-4DBC-A450-0305F8EE8C9D}" destId="{D7CF0F53-721D-4F87-8B56-0DFAEA1AE35F}" srcOrd="0" destOrd="0" presId="urn:microsoft.com/office/officeart/2005/8/layout/lProcess2"/>
    <dgm:cxn modelId="{997857DA-2D9E-48BB-AFAB-DC7BD1610468}" srcId="{EF79B931-C95B-485A-B427-F810392DCA8C}" destId="{BB29D271-7972-4192-A99A-DE3529FE6744}" srcOrd="4" destOrd="0" parTransId="{01AE07F8-E4DB-4A52-A7BA-DC0A756A5977}" sibTransId="{C9AB7817-2D2F-4650-9948-4F543A1135F5}"/>
    <dgm:cxn modelId="{48303ABF-A8B2-4823-A505-2A962EC35D16}" srcId="{98CC76EC-1575-4FF8-A2A4-51518AEF177B}" destId="{A96857E0-BFAD-4DBC-A450-0305F8EE8C9D}" srcOrd="3" destOrd="0" parTransId="{8CDCE404-3EE3-486E-AAB0-CFC977E5C498}" sibTransId="{8EA00116-C9AD-4850-AF0E-5C4E14DCBC10}"/>
    <dgm:cxn modelId="{ABB9FCAA-8117-4F63-9675-FD0C9294BA38}" type="presParOf" srcId="{B3BD26E3-62B3-4DD0-B83B-9EF99C911519}" destId="{BD161DCA-0229-4DB9-85A7-03FF0BB89718}" srcOrd="0" destOrd="0" presId="urn:microsoft.com/office/officeart/2005/8/layout/lProcess2"/>
    <dgm:cxn modelId="{ACE5CFEF-61B6-40F4-854D-BF0FA14E1550}" type="presParOf" srcId="{BD161DCA-0229-4DB9-85A7-03FF0BB89718}" destId="{0E1AF899-80DE-4E8D-B84F-DF2C128C1429}" srcOrd="0" destOrd="0" presId="urn:microsoft.com/office/officeart/2005/8/layout/lProcess2"/>
    <dgm:cxn modelId="{6B3388D4-DDB4-4724-9671-B50F9E777733}" type="presParOf" srcId="{BD161DCA-0229-4DB9-85A7-03FF0BB89718}" destId="{C0FB647F-06AE-4014-922E-56F50B663B57}" srcOrd="1" destOrd="0" presId="urn:microsoft.com/office/officeart/2005/8/layout/lProcess2"/>
    <dgm:cxn modelId="{2362C8E4-B4A3-4535-9C3F-29D7D11998AF}" type="presParOf" srcId="{BD161DCA-0229-4DB9-85A7-03FF0BB89718}" destId="{8B34979F-09DF-4AA4-9CDC-F308B235F94D}" srcOrd="2" destOrd="0" presId="urn:microsoft.com/office/officeart/2005/8/layout/lProcess2"/>
    <dgm:cxn modelId="{C0707B28-A6DB-44AD-98CD-6496454803B1}" type="presParOf" srcId="{8B34979F-09DF-4AA4-9CDC-F308B235F94D}" destId="{F2134DDD-D148-409F-BAB8-A9A430172F0F}" srcOrd="0" destOrd="0" presId="urn:microsoft.com/office/officeart/2005/8/layout/lProcess2"/>
    <dgm:cxn modelId="{CA94C214-A04A-45D4-8A94-D6D4CCA5659E}" type="presParOf" srcId="{F2134DDD-D148-409F-BAB8-A9A430172F0F}" destId="{27B990BA-C6C8-47EE-8C75-AE7D8850303E}" srcOrd="0" destOrd="0" presId="urn:microsoft.com/office/officeart/2005/8/layout/lProcess2"/>
    <dgm:cxn modelId="{36CD39F5-D3C8-40CA-9A87-47F09659EF4A}" type="presParOf" srcId="{F2134DDD-D148-409F-BAB8-A9A430172F0F}" destId="{18A3B1B0-E29C-4300-A844-F22B251694B9}" srcOrd="1" destOrd="0" presId="urn:microsoft.com/office/officeart/2005/8/layout/lProcess2"/>
    <dgm:cxn modelId="{EA08659D-97F5-49F1-9E64-839D2EC1CABD}" type="presParOf" srcId="{F2134DDD-D148-409F-BAB8-A9A430172F0F}" destId="{2BBEE999-2B5A-4DBC-8DA0-B80144AAAC15}" srcOrd="2" destOrd="0" presId="urn:microsoft.com/office/officeart/2005/8/layout/lProcess2"/>
    <dgm:cxn modelId="{44BE2B4F-F1C6-459E-86BF-EF5C2C8C1CC6}" type="presParOf" srcId="{F2134DDD-D148-409F-BAB8-A9A430172F0F}" destId="{806C212F-D398-455F-9B3D-870E20DFE07C}" srcOrd="3" destOrd="0" presId="urn:microsoft.com/office/officeart/2005/8/layout/lProcess2"/>
    <dgm:cxn modelId="{E2C9BCA2-924D-4C8D-801B-9E42B315A5DA}" type="presParOf" srcId="{F2134DDD-D148-409F-BAB8-A9A430172F0F}" destId="{9C1E207F-0680-40A6-873C-016445C4C2F5}" srcOrd="4" destOrd="0" presId="urn:microsoft.com/office/officeart/2005/8/layout/lProcess2"/>
    <dgm:cxn modelId="{051761DE-F27D-45FF-BFF7-167C358B011D}" type="presParOf" srcId="{F2134DDD-D148-409F-BAB8-A9A430172F0F}" destId="{F7DFD89B-DD39-4989-A714-8A6A3CD62EA8}" srcOrd="5" destOrd="0" presId="urn:microsoft.com/office/officeart/2005/8/layout/lProcess2"/>
    <dgm:cxn modelId="{DC2F94FF-37CE-4546-B40E-34085001CBFE}" type="presParOf" srcId="{F2134DDD-D148-409F-BAB8-A9A430172F0F}" destId="{021EBEE8-5BBF-4E62-9112-106B3E2DE6CA}" srcOrd="6" destOrd="0" presId="urn:microsoft.com/office/officeart/2005/8/layout/lProcess2"/>
    <dgm:cxn modelId="{F1B42DB2-027D-4386-B602-C6DF36EDCBF7}" type="presParOf" srcId="{F2134DDD-D148-409F-BAB8-A9A430172F0F}" destId="{32A1683A-35D9-4938-9EAC-98B1A8B2A4CA}" srcOrd="7" destOrd="0" presId="urn:microsoft.com/office/officeart/2005/8/layout/lProcess2"/>
    <dgm:cxn modelId="{ABFF05B3-95C8-42CC-929A-82939848CC6B}" type="presParOf" srcId="{F2134DDD-D148-409F-BAB8-A9A430172F0F}" destId="{641257AB-2643-4453-8CCD-4BFFAC0C10A4}" srcOrd="8" destOrd="0" presId="urn:microsoft.com/office/officeart/2005/8/layout/lProcess2"/>
    <dgm:cxn modelId="{DC918288-FD61-42C2-8648-03EAA868A880}" type="presParOf" srcId="{F2134DDD-D148-409F-BAB8-A9A430172F0F}" destId="{39BB8AA6-FF18-4436-AA57-81E70D29BE5D}" srcOrd="9" destOrd="0" presId="urn:microsoft.com/office/officeart/2005/8/layout/lProcess2"/>
    <dgm:cxn modelId="{CAEA18C4-B891-45E2-898C-47EB25821534}" type="presParOf" srcId="{F2134DDD-D148-409F-BAB8-A9A430172F0F}" destId="{D7A14245-BBC8-464C-BCAD-914F9A3905A6}" srcOrd="10" destOrd="0" presId="urn:microsoft.com/office/officeart/2005/8/layout/lProcess2"/>
    <dgm:cxn modelId="{1780E77B-0BA9-4293-B5D7-CEACA5F366FD}" type="presParOf" srcId="{B3BD26E3-62B3-4DD0-B83B-9EF99C911519}" destId="{388D4AB2-2C2D-4158-B59C-AA32E5D32CAC}" srcOrd="1" destOrd="0" presId="urn:microsoft.com/office/officeart/2005/8/layout/lProcess2"/>
    <dgm:cxn modelId="{E255C1EE-2646-4226-A0FC-803206F8C2F8}" type="presParOf" srcId="{B3BD26E3-62B3-4DD0-B83B-9EF99C911519}" destId="{B28C2CE5-81F9-46E1-8D6D-38DEFF15D40E}" srcOrd="2" destOrd="0" presId="urn:microsoft.com/office/officeart/2005/8/layout/lProcess2"/>
    <dgm:cxn modelId="{4F3F8F9D-5CF6-49D6-AFB0-859365866C21}" type="presParOf" srcId="{B28C2CE5-81F9-46E1-8D6D-38DEFF15D40E}" destId="{3769DCC1-3CB0-4AD8-9ED5-745CD34DC800}" srcOrd="0" destOrd="0" presId="urn:microsoft.com/office/officeart/2005/8/layout/lProcess2"/>
    <dgm:cxn modelId="{CC01957E-E167-48EA-9E9F-2768A7CD65C9}" type="presParOf" srcId="{B28C2CE5-81F9-46E1-8D6D-38DEFF15D40E}" destId="{403D0FBC-E4F3-40F2-BCCC-D95C9046D23D}" srcOrd="1" destOrd="0" presId="urn:microsoft.com/office/officeart/2005/8/layout/lProcess2"/>
    <dgm:cxn modelId="{CD575D37-95A2-4B92-B13F-AA5396D40952}" type="presParOf" srcId="{B28C2CE5-81F9-46E1-8D6D-38DEFF15D40E}" destId="{594F796B-DC1A-4066-A569-F2E9ADF05FBE}" srcOrd="2" destOrd="0" presId="urn:microsoft.com/office/officeart/2005/8/layout/lProcess2"/>
    <dgm:cxn modelId="{BA7635CA-D86D-4CA2-8F54-CC2BF06A7C98}" type="presParOf" srcId="{594F796B-DC1A-4066-A569-F2E9ADF05FBE}" destId="{3AF1A95E-2134-4B1A-95AC-A484B32C9663}" srcOrd="0" destOrd="0" presId="urn:microsoft.com/office/officeart/2005/8/layout/lProcess2"/>
    <dgm:cxn modelId="{1A35AB92-C42F-45C7-BEDA-A8AADA1C94D2}" type="presParOf" srcId="{3AF1A95E-2134-4B1A-95AC-A484B32C9663}" destId="{A836F537-7E18-4B47-A139-DE45498D6779}" srcOrd="0" destOrd="0" presId="urn:microsoft.com/office/officeart/2005/8/layout/lProcess2"/>
    <dgm:cxn modelId="{2E3E6E23-0F2D-405B-8AD7-A4AFA0234BD7}" type="presParOf" srcId="{3AF1A95E-2134-4B1A-95AC-A484B32C9663}" destId="{17C454EB-2215-41B5-A9FB-3B35662E0FF9}" srcOrd="1" destOrd="0" presId="urn:microsoft.com/office/officeart/2005/8/layout/lProcess2"/>
    <dgm:cxn modelId="{DC52B8A2-C6C6-4F5F-BC77-02F2255EF333}" type="presParOf" srcId="{3AF1A95E-2134-4B1A-95AC-A484B32C9663}" destId="{8357D646-F198-4430-8B6B-EA837C985DDA}" srcOrd="2" destOrd="0" presId="urn:microsoft.com/office/officeart/2005/8/layout/lProcess2"/>
    <dgm:cxn modelId="{B985E5A9-B166-46D5-B536-383EE0B593F6}" type="presParOf" srcId="{3AF1A95E-2134-4B1A-95AC-A484B32C9663}" destId="{9BB76C57-B234-4C08-A4ED-52724DB651B7}" srcOrd="3" destOrd="0" presId="urn:microsoft.com/office/officeart/2005/8/layout/lProcess2"/>
    <dgm:cxn modelId="{BB730123-3DFB-4ED4-9E95-B9C6E3AB1CED}" type="presParOf" srcId="{3AF1A95E-2134-4B1A-95AC-A484B32C9663}" destId="{672F0C79-0BF5-426A-9873-B2E1436AE88F}" srcOrd="4" destOrd="0" presId="urn:microsoft.com/office/officeart/2005/8/layout/lProcess2"/>
    <dgm:cxn modelId="{5E01C8FE-A094-40BE-8B93-D0331C30F75E}" type="presParOf" srcId="{3AF1A95E-2134-4B1A-95AC-A484B32C9663}" destId="{42A01173-8C53-4827-A6BE-E09EBBDC4ED5}" srcOrd="5" destOrd="0" presId="urn:microsoft.com/office/officeart/2005/8/layout/lProcess2"/>
    <dgm:cxn modelId="{F03550FF-111F-4D4F-8F99-D236EB0A48FA}" type="presParOf" srcId="{3AF1A95E-2134-4B1A-95AC-A484B32C9663}" destId="{D7CF0F53-721D-4F87-8B56-0DFAEA1AE35F}" srcOrd="6" destOrd="0" presId="urn:microsoft.com/office/officeart/2005/8/layout/lProcess2"/>
    <dgm:cxn modelId="{4D30A876-7616-4C96-BBA9-D0A56DF68534}" type="presParOf" srcId="{3AF1A95E-2134-4B1A-95AC-A484B32C9663}" destId="{27680357-2F0C-483F-A755-7DF96C58020E}" srcOrd="7" destOrd="0" presId="urn:microsoft.com/office/officeart/2005/8/layout/lProcess2"/>
    <dgm:cxn modelId="{6399612B-A36C-473D-9DCD-B44A748AC354}" type="presParOf" srcId="{3AF1A95E-2134-4B1A-95AC-A484B32C9663}" destId="{EBD67121-7728-4493-90C4-A23684CCBF24}" srcOrd="8" destOrd="0" presId="urn:microsoft.com/office/officeart/2005/8/layout/lProcess2"/>
    <dgm:cxn modelId="{2914996D-4578-412D-B493-9914DB7746CC}" type="presParOf" srcId="{3AF1A95E-2134-4B1A-95AC-A484B32C9663}" destId="{BEE8DBB3-740A-4C92-AFCE-2EB6D48F85DD}" srcOrd="9" destOrd="0" presId="urn:microsoft.com/office/officeart/2005/8/layout/lProcess2"/>
    <dgm:cxn modelId="{49DC2493-05BA-4D00-AF4E-2BCD5A57F2DF}" type="presParOf" srcId="{3AF1A95E-2134-4B1A-95AC-A484B32C9663}" destId="{4D3E1572-603B-494E-BA0A-0EC586C475F3}" srcOrd="10" destOrd="0" presId="urn:microsoft.com/office/officeart/2005/8/layout/lProcess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6055E1-2BEF-4176-ACC9-1B96B826229C}">
      <dsp:nvSpPr>
        <dsp:cNvPr id="0" name=""/>
        <dsp:cNvSpPr/>
      </dsp:nvSpPr>
      <dsp:spPr>
        <a:xfrm rot="16200000">
          <a:off x="518822" y="-518822"/>
          <a:ext cx="640080" cy="1677725"/>
        </a:xfrm>
        <a:prstGeom prst="round1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dirty="0">
              <a:latin typeface="Times New Roman" pitchFamily="18" charset="0"/>
              <a:cs typeface="Times New Roman" pitchFamily="18" charset="0"/>
            </a:rPr>
            <a:t>Academic Standards</a:t>
          </a:r>
        </a:p>
      </dsp:txBody>
      <dsp:txXfrm rot="5400000">
        <a:off x="0" y="0"/>
        <a:ext cx="1677725" cy="480060"/>
      </dsp:txXfrm>
    </dsp:sp>
    <dsp:sp modelId="{C47A54F3-0A93-4923-A805-4BD40C8CD1CF}">
      <dsp:nvSpPr>
        <dsp:cNvPr id="0" name=""/>
        <dsp:cNvSpPr/>
      </dsp:nvSpPr>
      <dsp:spPr>
        <a:xfrm>
          <a:off x="1677725" y="0"/>
          <a:ext cx="1677725" cy="640080"/>
        </a:xfrm>
        <a:prstGeom prst="round1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Sustainable Economic Competitiveness</a:t>
          </a:r>
        </a:p>
      </dsp:txBody>
      <dsp:txXfrm>
        <a:off x="1677725" y="0"/>
        <a:ext cx="1677725" cy="480060"/>
      </dsp:txXfrm>
    </dsp:sp>
    <dsp:sp modelId="{C59636C8-68DC-485B-9BAD-22259105D63A}">
      <dsp:nvSpPr>
        <dsp:cNvPr id="0" name=""/>
        <dsp:cNvSpPr/>
      </dsp:nvSpPr>
      <dsp:spPr>
        <a:xfrm rot="10800000">
          <a:off x="0" y="640080"/>
          <a:ext cx="1677725" cy="640080"/>
        </a:xfrm>
        <a:prstGeom prst="round1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Researh and Innovation</a:t>
          </a:r>
        </a:p>
      </dsp:txBody>
      <dsp:txXfrm rot="10800000">
        <a:off x="0" y="800100"/>
        <a:ext cx="1677725" cy="480060"/>
      </dsp:txXfrm>
    </dsp:sp>
    <dsp:sp modelId="{EBAC84C7-047F-42DC-AE6C-924EF6C9035B}">
      <dsp:nvSpPr>
        <dsp:cNvPr id="0" name=""/>
        <dsp:cNvSpPr/>
      </dsp:nvSpPr>
      <dsp:spPr>
        <a:xfrm rot="5400000">
          <a:off x="2196548" y="121257"/>
          <a:ext cx="640080" cy="1677725"/>
        </a:xfrm>
        <a:prstGeom prst="round1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dirty="0">
              <a:latin typeface="Times New Roman" pitchFamily="18" charset="0"/>
              <a:cs typeface="Times New Roman" pitchFamily="18" charset="0"/>
            </a:rPr>
            <a:t>Lifelong Learning</a:t>
          </a:r>
        </a:p>
      </dsp:txBody>
      <dsp:txXfrm rot="-5400000">
        <a:off x="1677726" y="800099"/>
        <a:ext cx="1677725" cy="480060"/>
      </dsp:txXfrm>
    </dsp:sp>
    <dsp:sp modelId="{E26FC27F-78E1-43B1-8DCC-AF73B33BD514}">
      <dsp:nvSpPr>
        <dsp:cNvPr id="0" name=""/>
        <dsp:cNvSpPr/>
      </dsp:nvSpPr>
      <dsp:spPr>
        <a:xfrm>
          <a:off x="1174407" y="424473"/>
          <a:ext cx="1006635" cy="431212"/>
        </a:xfrm>
        <a:prstGeom prst="roundRect">
          <a:avLst/>
        </a:prstGeom>
        <a:solidFill>
          <a:schemeClr val="dk1">
            <a:tint val="6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dirty="0">
              <a:latin typeface="Times New Roman" pitchFamily="18" charset="0"/>
              <a:cs typeface="Times New Roman" pitchFamily="18" charset="0"/>
            </a:rPr>
            <a:t>World Class Education</a:t>
          </a:r>
        </a:p>
      </dsp:txBody>
      <dsp:txXfrm>
        <a:off x="1195457" y="445523"/>
        <a:ext cx="964535" cy="38911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1AF899-80DE-4E8D-B84F-DF2C128C1429}">
      <dsp:nvSpPr>
        <dsp:cNvPr id="0" name=""/>
        <dsp:cNvSpPr/>
      </dsp:nvSpPr>
      <dsp:spPr>
        <a:xfrm>
          <a:off x="2236" y="0"/>
          <a:ext cx="2151861" cy="2926080"/>
        </a:xfrm>
        <a:prstGeom prst="roundRect">
          <a:avLst>
            <a:gd name="adj" fmla="val 10000"/>
          </a:avLst>
        </a:prstGeom>
        <a:gradFill rotWithShape="0">
          <a:gsLst>
            <a:gs pos="0">
              <a:schemeClr val="dk1">
                <a:tint val="40000"/>
                <a:hueOff val="0"/>
                <a:satOff val="0"/>
                <a:lumOff val="0"/>
                <a:alphaOff val="0"/>
                <a:shade val="51000"/>
                <a:satMod val="130000"/>
              </a:schemeClr>
            </a:gs>
            <a:gs pos="80000">
              <a:schemeClr val="dk1">
                <a:tint val="40000"/>
                <a:hueOff val="0"/>
                <a:satOff val="0"/>
                <a:lumOff val="0"/>
                <a:alphaOff val="0"/>
                <a:shade val="93000"/>
                <a:satMod val="130000"/>
              </a:schemeClr>
            </a:gs>
            <a:gs pos="100000">
              <a:schemeClr val="dk1">
                <a:tint val="40000"/>
                <a:hueOff val="0"/>
                <a:satOff val="0"/>
                <a:lumOff val="0"/>
                <a:alphaOff val="0"/>
                <a:shade val="94000"/>
                <a:satMod val="135000"/>
              </a:schemeClr>
            </a:gs>
          </a:gsLst>
          <a:lin ang="16200000" scaled="0"/>
        </a:gradFill>
        <a:ln>
          <a:noFill/>
        </a:ln>
        <a:effectLst/>
        <a:scene3d>
          <a:camera prst="orthographicFront"/>
          <a:lightRig rig="flat" dir="t"/>
        </a:scene3d>
        <a:sp3d z="-190500" extrusionH="12700" prstMaterial="plastic">
          <a:bevelT w="50800" h="50800"/>
        </a:sp3d>
      </dsp:spPr>
      <dsp:style>
        <a:lnRef idx="0">
          <a:scrgbClr r="0" g="0" b="0"/>
        </a:lnRef>
        <a:fillRef idx="3">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latin typeface="Times New Roman" pitchFamily="18" charset="0"/>
              <a:cs typeface="Times New Roman" pitchFamily="18" charset="0"/>
            </a:rPr>
            <a:t>UKSPEC</a:t>
          </a:r>
        </a:p>
      </dsp:txBody>
      <dsp:txXfrm>
        <a:off x="2236" y="0"/>
        <a:ext cx="2151861" cy="877824"/>
      </dsp:txXfrm>
    </dsp:sp>
    <dsp:sp modelId="{27B990BA-C6C8-47EE-8C75-AE7D8850303E}">
      <dsp:nvSpPr>
        <dsp:cNvPr id="0" name=""/>
        <dsp:cNvSpPr/>
      </dsp:nvSpPr>
      <dsp:spPr>
        <a:xfrm>
          <a:off x="217423" y="877966"/>
          <a:ext cx="1721489" cy="280927"/>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en-GB" sz="1100" kern="1200">
              <a:latin typeface="Times New Roman" pitchFamily="18" charset="0"/>
              <a:cs typeface="Times New Roman" pitchFamily="18" charset="0"/>
            </a:rPr>
            <a:t>Underpinning Mathematics </a:t>
          </a:r>
          <a:br>
            <a:rPr lang="en-GB" sz="1100" kern="1200">
              <a:latin typeface="Times New Roman" pitchFamily="18" charset="0"/>
              <a:cs typeface="Times New Roman" pitchFamily="18" charset="0"/>
            </a:rPr>
          </a:br>
          <a:r>
            <a:rPr lang="en-GB" sz="1100" kern="1200">
              <a:latin typeface="Times New Roman" pitchFamily="18" charset="0"/>
              <a:cs typeface="Times New Roman" pitchFamily="18" charset="0"/>
            </a:rPr>
            <a:t>and Science</a:t>
          </a:r>
        </a:p>
      </dsp:txBody>
      <dsp:txXfrm>
        <a:off x="225651" y="886194"/>
        <a:ext cx="1705033" cy="264471"/>
      </dsp:txXfrm>
    </dsp:sp>
    <dsp:sp modelId="{2BBEE999-2B5A-4DBC-8DA0-B80144AAAC15}">
      <dsp:nvSpPr>
        <dsp:cNvPr id="0" name=""/>
        <dsp:cNvSpPr/>
      </dsp:nvSpPr>
      <dsp:spPr>
        <a:xfrm>
          <a:off x="217423" y="1202114"/>
          <a:ext cx="1721489" cy="280927"/>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en-GB" sz="1100" kern="1200">
              <a:latin typeface="Times New Roman" pitchFamily="18" charset="0"/>
              <a:cs typeface="Times New Roman" pitchFamily="18" charset="0"/>
            </a:rPr>
            <a:t>Engineering analysis</a:t>
          </a:r>
        </a:p>
      </dsp:txBody>
      <dsp:txXfrm>
        <a:off x="225651" y="1210342"/>
        <a:ext cx="1705033" cy="264471"/>
      </dsp:txXfrm>
    </dsp:sp>
    <dsp:sp modelId="{9C1E207F-0680-40A6-873C-016445C4C2F5}">
      <dsp:nvSpPr>
        <dsp:cNvPr id="0" name=""/>
        <dsp:cNvSpPr/>
      </dsp:nvSpPr>
      <dsp:spPr>
        <a:xfrm>
          <a:off x="217423" y="1526262"/>
          <a:ext cx="1721489" cy="280927"/>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en-GB" sz="1100" kern="1200">
              <a:latin typeface="Times New Roman" pitchFamily="18" charset="0"/>
              <a:cs typeface="Times New Roman" pitchFamily="18" charset="0"/>
            </a:rPr>
            <a:t>Design</a:t>
          </a:r>
        </a:p>
      </dsp:txBody>
      <dsp:txXfrm>
        <a:off x="225651" y="1534490"/>
        <a:ext cx="1705033" cy="264471"/>
      </dsp:txXfrm>
    </dsp:sp>
    <dsp:sp modelId="{021EBEE8-5BBF-4E62-9112-106B3E2DE6CA}">
      <dsp:nvSpPr>
        <dsp:cNvPr id="0" name=""/>
        <dsp:cNvSpPr/>
      </dsp:nvSpPr>
      <dsp:spPr>
        <a:xfrm>
          <a:off x="217423" y="1850409"/>
          <a:ext cx="1721489" cy="280927"/>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en-GB" sz="1100" kern="1200">
              <a:latin typeface="Times New Roman" pitchFamily="18" charset="0"/>
              <a:cs typeface="Times New Roman" pitchFamily="18" charset="0"/>
            </a:rPr>
            <a:t>Economic, social and enviornmental context</a:t>
          </a:r>
        </a:p>
      </dsp:txBody>
      <dsp:txXfrm>
        <a:off x="225651" y="1858637"/>
        <a:ext cx="1705033" cy="264471"/>
      </dsp:txXfrm>
    </dsp:sp>
    <dsp:sp modelId="{641257AB-2643-4453-8CCD-4BFFAC0C10A4}">
      <dsp:nvSpPr>
        <dsp:cNvPr id="0" name=""/>
        <dsp:cNvSpPr/>
      </dsp:nvSpPr>
      <dsp:spPr>
        <a:xfrm>
          <a:off x="217423" y="2174557"/>
          <a:ext cx="1721489" cy="280927"/>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en-GB" sz="1100" kern="1200">
              <a:latin typeface="Times New Roman" pitchFamily="18" charset="0"/>
              <a:cs typeface="Times New Roman" pitchFamily="18" charset="0"/>
            </a:rPr>
            <a:t>Engineering Practice</a:t>
          </a:r>
        </a:p>
      </dsp:txBody>
      <dsp:txXfrm>
        <a:off x="225651" y="2182785"/>
        <a:ext cx="1705033" cy="264471"/>
      </dsp:txXfrm>
    </dsp:sp>
    <dsp:sp modelId="{D7A14245-BBC8-464C-BCAD-914F9A3905A6}">
      <dsp:nvSpPr>
        <dsp:cNvPr id="0" name=""/>
        <dsp:cNvSpPr/>
      </dsp:nvSpPr>
      <dsp:spPr>
        <a:xfrm>
          <a:off x="217423" y="2498705"/>
          <a:ext cx="1721489" cy="280927"/>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en-GB" sz="1100" kern="1200">
              <a:latin typeface="Times New Roman" pitchFamily="18" charset="0"/>
              <a:cs typeface="Times New Roman" pitchFamily="18" charset="0"/>
            </a:rPr>
            <a:t>Key/Transferable Skills</a:t>
          </a:r>
        </a:p>
      </dsp:txBody>
      <dsp:txXfrm>
        <a:off x="225651" y="2506933"/>
        <a:ext cx="1705033" cy="264471"/>
      </dsp:txXfrm>
    </dsp:sp>
    <dsp:sp modelId="{3769DCC1-3CB0-4AD8-9ED5-745CD34DC800}">
      <dsp:nvSpPr>
        <dsp:cNvPr id="0" name=""/>
        <dsp:cNvSpPr/>
      </dsp:nvSpPr>
      <dsp:spPr>
        <a:xfrm>
          <a:off x="2315488" y="0"/>
          <a:ext cx="2151861" cy="2926080"/>
        </a:xfrm>
        <a:prstGeom prst="roundRect">
          <a:avLst>
            <a:gd name="adj" fmla="val 10000"/>
          </a:avLst>
        </a:prstGeom>
        <a:gradFill rotWithShape="0">
          <a:gsLst>
            <a:gs pos="0">
              <a:schemeClr val="dk1">
                <a:tint val="40000"/>
                <a:hueOff val="0"/>
                <a:satOff val="0"/>
                <a:lumOff val="0"/>
                <a:alphaOff val="0"/>
                <a:shade val="51000"/>
                <a:satMod val="130000"/>
              </a:schemeClr>
            </a:gs>
            <a:gs pos="80000">
              <a:schemeClr val="dk1">
                <a:tint val="40000"/>
                <a:hueOff val="0"/>
                <a:satOff val="0"/>
                <a:lumOff val="0"/>
                <a:alphaOff val="0"/>
                <a:shade val="93000"/>
                <a:satMod val="130000"/>
              </a:schemeClr>
            </a:gs>
            <a:gs pos="100000">
              <a:schemeClr val="dk1">
                <a:tint val="40000"/>
                <a:hueOff val="0"/>
                <a:satOff val="0"/>
                <a:lumOff val="0"/>
                <a:alphaOff val="0"/>
                <a:shade val="94000"/>
                <a:satMod val="135000"/>
              </a:schemeClr>
            </a:gs>
          </a:gsLst>
          <a:lin ang="16200000" scaled="0"/>
        </a:gradFill>
        <a:ln>
          <a:noFill/>
        </a:ln>
        <a:effectLst/>
        <a:scene3d>
          <a:camera prst="orthographicFront"/>
          <a:lightRig rig="flat" dir="t"/>
        </a:scene3d>
        <a:sp3d z="-190500" extrusionH="12700" prstMaterial="plastic">
          <a:bevelT w="50800" h="50800"/>
        </a:sp3d>
      </dsp:spPr>
      <dsp:style>
        <a:lnRef idx="0">
          <a:scrgbClr r="0" g="0" b="0"/>
        </a:lnRef>
        <a:fillRef idx="3">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latin typeface="Times New Roman" pitchFamily="18" charset="0"/>
              <a:cs typeface="Times New Roman" pitchFamily="18" charset="0"/>
            </a:rPr>
            <a:t>EUR-ACE</a:t>
          </a:r>
        </a:p>
      </dsp:txBody>
      <dsp:txXfrm>
        <a:off x="2315488" y="0"/>
        <a:ext cx="2151861" cy="877824"/>
      </dsp:txXfrm>
    </dsp:sp>
    <dsp:sp modelId="{A836F537-7E18-4B47-A139-DE45498D6779}">
      <dsp:nvSpPr>
        <dsp:cNvPr id="0" name=""/>
        <dsp:cNvSpPr/>
      </dsp:nvSpPr>
      <dsp:spPr>
        <a:xfrm>
          <a:off x="2530674" y="877966"/>
          <a:ext cx="1721489" cy="280927"/>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en-GB" sz="1100" kern="1200">
              <a:latin typeface="Times New Roman" pitchFamily="18" charset="0"/>
              <a:cs typeface="Times New Roman" pitchFamily="18" charset="0"/>
            </a:rPr>
            <a:t>Knowledge and Understanding</a:t>
          </a:r>
        </a:p>
      </dsp:txBody>
      <dsp:txXfrm>
        <a:off x="2538902" y="886194"/>
        <a:ext cx="1705033" cy="264471"/>
      </dsp:txXfrm>
    </dsp:sp>
    <dsp:sp modelId="{8357D646-F198-4430-8B6B-EA837C985DDA}">
      <dsp:nvSpPr>
        <dsp:cNvPr id="0" name=""/>
        <dsp:cNvSpPr/>
      </dsp:nvSpPr>
      <dsp:spPr>
        <a:xfrm>
          <a:off x="2530674" y="1202114"/>
          <a:ext cx="1721489" cy="280927"/>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en-GB" sz="1100" kern="1200">
              <a:latin typeface="Times New Roman" pitchFamily="18" charset="0"/>
              <a:cs typeface="Times New Roman" pitchFamily="18" charset="0"/>
            </a:rPr>
            <a:t>Engineering Analysis</a:t>
          </a:r>
        </a:p>
      </dsp:txBody>
      <dsp:txXfrm>
        <a:off x="2538902" y="1210342"/>
        <a:ext cx="1705033" cy="264471"/>
      </dsp:txXfrm>
    </dsp:sp>
    <dsp:sp modelId="{672F0C79-0BF5-426A-9873-B2E1436AE88F}">
      <dsp:nvSpPr>
        <dsp:cNvPr id="0" name=""/>
        <dsp:cNvSpPr/>
      </dsp:nvSpPr>
      <dsp:spPr>
        <a:xfrm>
          <a:off x="2530674" y="1526262"/>
          <a:ext cx="1721489" cy="280927"/>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en-GB" sz="1100" kern="1200">
              <a:latin typeface="Times New Roman" pitchFamily="18" charset="0"/>
              <a:cs typeface="Times New Roman" pitchFamily="18" charset="0"/>
            </a:rPr>
            <a:t>Engineerng Design</a:t>
          </a:r>
        </a:p>
      </dsp:txBody>
      <dsp:txXfrm>
        <a:off x="2538902" y="1534490"/>
        <a:ext cx="1705033" cy="264471"/>
      </dsp:txXfrm>
    </dsp:sp>
    <dsp:sp modelId="{D7CF0F53-721D-4F87-8B56-0DFAEA1AE35F}">
      <dsp:nvSpPr>
        <dsp:cNvPr id="0" name=""/>
        <dsp:cNvSpPr/>
      </dsp:nvSpPr>
      <dsp:spPr>
        <a:xfrm>
          <a:off x="2530674" y="1850409"/>
          <a:ext cx="1721489" cy="280927"/>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en-GB" sz="1100" kern="1200">
              <a:latin typeface="Times New Roman" pitchFamily="18" charset="0"/>
              <a:cs typeface="Times New Roman" pitchFamily="18" charset="0"/>
            </a:rPr>
            <a:t>Investigations</a:t>
          </a:r>
        </a:p>
      </dsp:txBody>
      <dsp:txXfrm>
        <a:off x="2538902" y="1858637"/>
        <a:ext cx="1705033" cy="264471"/>
      </dsp:txXfrm>
    </dsp:sp>
    <dsp:sp modelId="{EBD67121-7728-4493-90C4-A23684CCBF24}">
      <dsp:nvSpPr>
        <dsp:cNvPr id="0" name=""/>
        <dsp:cNvSpPr/>
      </dsp:nvSpPr>
      <dsp:spPr>
        <a:xfrm>
          <a:off x="2530674" y="2174557"/>
          <a:ext cx="1721489" cy="280927"/>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en-GB" sz="1100" kern="1200">
              <a:latin typeface="Times New Roman" pitchFamily="18" charset="0"/>
              <a:cs typeface="Times New Roman" pitchFamily="18" charset="0"/>
            </a:rPr>
            <a:t>Engineering Practice</a:t>
          </a:r>
        </a:p>
      </dsp:txBody>
      <dsp:txXfrm>
        <a:off x="2538902" y="2182785"/>
        <a:ext cx="1705033" cy="264471"/>
      </dsp:txXfrm>
    </dsp:sp>
    <dsp:sp modelId="{4D3E1572-603B-494E-BA0A-0EC586C475F3}">
      <dsp:nvSpPr>
        <dsp:cNvPr id="0" name=""/>
        <dsp:cNvSpPr/>
      </dsp:nvSpPr>
      <dsp:spPr>
        <a:xfrm>
          <a:off x="2530674" y="2498705"/>
          <a:ext cx="1721489" cy="280927"/>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en-GB" sz="1100" kern="1200">
              <a:latin typeface="Times New Roman" pitchFamily="18" charset="0"/>
              <a:cs typeface="Times New Roman" pitchFamily="18" charset="0"/>
            </a:rPr>
            <a:t>Transferable Skills</a:t>
          </a:r>
        </a:p>
      </dsp:txBody>
      <dsp:txXfrm>
        <a:off x="2538902" y="2506933"/>
        <a:ext cx="1705033" cy="264471"/>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2.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b:Source>
    <b:Tag>Eng11</b:Tag>
    <b:SourceType>InternetSite</b:SourceType>
    <b:Guid>{E5261880-AB8E-4963-83F6-0008B5562579}</b:Guid>
    <b:Author>
      <b:Author>
        <b:Corporate>Engineering Council</b:Corporate>
      </b:Author>
    </b:Author>
    <b:Title>Engineering council main page</b:Title>
    <b:InternetSiteTitle>Engineering council</b:InternetSiteTitle>
    <b:Year>2011</b:Year>
    <b:YearAccessed>2012</b:YearAccessed>
    <b:MonthAccessed>07</b:MonthAccessed>
    <b:DayAccessed>22</b:DayAccessed>
    <b:URL>http://www.engc.org.uk</b:URL>
    <b:RefOrder>9</b:RefOrder>
  </b:Source>
  <b:Source>
    <b:Tag>May92</b:Tag>
    <b:SourceType>Report</b:SourceType>
    <b:Guid>{A021C3EA-FC06-49F9-AA55-1EDF65D26B2B}</b:Guid>
    <b:Author>
      <b:Author>
        <b:NameList>
          <b:Person>
            <b:Last>Mayer</b:Last>
            <b:First>E.</b:First>
          </b:Person>
        </b:NameList>
      </b:Author>
    </b:Author>
    <b:Title>Putting General Education to Work: The Key Competencies Report</b:Title>
    <b:Year>1992</b:Year>
    <b:City>Canberra</b:City>
    <b:Department>Educational Council and Ministers for Vocational Education, Employment and Training</b:Department>
    <b:RefOrder>4</b:RefOrder>
  </b:Source>
  <b:Source>
    <b:Tag>Aus02</b:Tag>
    <b:SourceType>Report</b:SourceType>
    <b:Guid>{14EEAD60-BC12-42E0-9FD1-4428D72970B7}</b:Guid>
    <b:Author>
      <b:Author>
        <b:Corporate>ACCI/BCA</b:Corporate>
      </b:Author>
    </b:Author>
    <b:Title>Employability Skills for the Future</b:Title>
    <b:Year>2002</b:Year>
    <b:City>Canberra</b:City>
    <b:Department>Department of Education, Science and Training - Training Reform Section</b:Department>
    <b:Publisher>Australian Chamber of Commerce and Industry &amp; the Business Council Australia</b:Publisher>
    <b:RefOrder>6</b:RefOrder>
  </b:Source>
  <b:Source>
    <b:Tag>Dea97</b:Tag>
    <b:SourceType>Report</b:SourceType>
    <b:Guid>{715B0630-2C4A-4218-A2FE-EC4435A2D25E}</b:Guid>
    <b:Author>
      <b:Author>
        <b:NameList>
          <b:Person>
            <b:Last>Dearing</b:Last>
            <b:First>Sir</b:First>
            <b:Middle>Roy</b:Middle>
          </b:Person>
        </b:NameList>
      </b:Author>
    </b:Author>
    <b:Title>Higher Education in the Learning Society: Report of the National Committee of Inquiry into Higher Education.</b:Title>
    <b:Year>1997</b:Year>
    <b:City>London</b:City>
    <b:Publisher>Stationery Office</b:Publisher>
    <b:RefOrder>2</b:RefOrder>
  </b:Source>
  <b:Source>
    <b:Tag>Yor03</b:Tag>
    <b:SourceType>Report</b:SourceType>
    <b:Guid>{76E0A05B-BA3B-4836-B0EB-F5DAA2DFA96A}</b:Guid>
    <b:Author>
      <b:Author>
        <b:NameList>
          <b:Person>
            <b:Last>Yorke</b:Last>
            <b:First>Mantz</b:First>
          </b:Person>
          <b:Person>
            <b:Last>Knight</b:Last>
            <b:First>Peter</b:First>
            <b:Middle>T.</b:Middle>
          </b:Person>
        </b:NameList>
      </b:Author>
    </b:Author>
    <b:Title>Employability and Good Learning in Higher Education</b:Title>
    <b:Year>2003</b:Year>
    <b:Publisher>Carfax Publishing</b:Publisher>
    <b:City>Liverpool</b:City>
    <b:Volume>8</b:Volume>
    <b:Issue>1</b:Issue>
    <b:JournalName>Teaching in Higher Education</b:JournalName>
    <b:Pages>14</b:Pages>
    <b:RefOrder>3</b:RefOrder>
  </b:Source>
  <b:Source>
    <b:Tag>Yor09</b:Tag>
    <b:SourceType>Report</b:SourceType>
    <b:Guid>{0BE7B1CC-B767-4E65-8472-71396985952C}</b:Guid>
    <b:Author>
      <b:Author>
        <b:NameList>
          <b:Person>
            <b:Last>Yorke</b:Last>
            <b:First>Mantz</b:First>
          </b:Person>
          <b:Person>
            <b:Last>Knight</b:Last>
            <b:First>Peter</b:First>
            <b:Middle>T</b:Middle>
          </b:Person>
        </b:NameList>
      </b:Author>
    </b:Author>
    <b:Title>Embeding Employability into the Curriculum</b:Title>
    <b:City>York</b:City>
    <b:Year>2006</b:Year>
    <b:Publisher>The Higher Education Academy</b:Publisher>
    <b:Institution>The Higher Education Academy</b:Institution>
    <b:Pages>32</b:Pages>
    <b:StandardNumber>1-905788-00-2</b:StandardNumber>
    <b:RefOrder>5</b:RefOrder>
  </b:Source>
  <b:Source>
    <b:Tag>Yor06</b:Tag>
    <b:SourceType>Report</b:SourceType>
    <b:Guid>{FEC61588-AD38-4E3E-93E1-4DDFDE45B104}</b:Guid>
    <b:Author>
      <b:Author>
        <b:NameList>
          <b:Person>
            <b:Last>Yorke</b:Last>
            <b:First>Mantz</b:First>
          </b:Person>
        </b:NameList>
      </b:Author>
      <b:Editor>
        <b:NameList>
          <b:Person>
            <b:Last>Yorke</b:Last>
            <b:First>Mantz</b:First>
          </b:Person>
        </b:NameList>
      </b:Editor>
    </b:Author>
    <b:Title>Employability in Higher Education: what it is and what it is not</b:Title>
    <b:City>York</b:City>
    <b:Year>2006</b:Year>
    <b:Publisher>The Higher Educaton Academy</b:Publisher>
    <b:Volume>1</b:Volume>
    <b:Issue>1</b:Issue>
    <b:StandardNumber>1-905788-01-0</b:StandardNumber>
    <b:PeriodicalTitle>The Higher Education Academy</b:PeriodicalTitle>
    <b:Edition>1</b:Edition>
    <b:Month>April</b:Month>
    <b:Pages>24</b:Pages>
    <b:Institution>The Higher Educaton Academy</b:Institution>
    <b:RefOrder>1</b:RefOrder>
  </b:Source>
  <b:Source>
    <b:Tag>ski08</b:Tag>
    <b:SourceType>Report</b:SourceType>
    <b:Guid>{9B7B3A0B-DDEE-447C-BB3B-D8234FA9C6CF}</b:Guid>
    <b:Author>
      <b:Author>
        <b:Corporate>UK Commission for Employment and Skills</b:Corporate>
      </b:Author>
    </b:Author>
    <b:Title>The Employability Challenge</b:Title>
    <b:Year>2009</b:Year>
    <b:Publisher>UKCES</b:Publisher>
    <b:City>London</b:City>
    <b:Pages>76</b:Pages>
    <b:ThesisType>key recommendation</b:ThesisType>
    <b:RefOrder>7</b:RefOrder>
  </b:Source>
  <b:Source>
    <b:Tag>The1</b:Tag>
    <b:SourceType>Report</b:SourceType>
    <b:Guid>{F130135D-B9E6-4A77-A9A0-BFA7FA237FFB}</b:Guid>
    <b:Publisher>The Central Office of Information</b:Publisher>
    <b:Author>
      <b:Author>
        <b:NameList>
          <b:Person>
            <b:Last>Browne</b:Last>
            <b:First>John</b:First>
          </b:Person>
        </b:NameList>
      </b:Author>
    </b:Author>
    <b:Title>Securing a Sustainable Future for Higher Education</b:Title>
    <b:Year>2010</b:Year>
    <b:City>London</b:City>
    <b:Pages>64</b:Pages>
    <b:RefOrder>10</b:RefOrder>
  </b:Source>
  <b:Source>
    <b:Tag>The10</b:Tag>
    <b:SourceType>Report</b:SourceType>
    <b:Guid>{EF8E70B4-9BD4-44A1-9CBA-BA8A162D3E9D}</b:Guid>
    <b:Author>
      <b:Author>
        <b:Corporate>The Institution of Engineering and Technology</b:Corporate>
      </b:Author>
    </b:Author>
    <b:Title>Skills and Demand in Industry</b:Title>
    <b:Year>2010</b:Year>
    <b:Publisher>The Institution of Engineering and Technology</b:Publisher>
    <b:City>London</b:City>
    <b:Pages>23</b:Pages>
    <b:RefOrder>11</b:RefOrder>
  </b:Source>
  <b:Source>
    <b:Tag>The103</b:Tag>
    <b:SourceType>InternetSite</b:SourceType>
    <b:Guid>{FEB2E1F0-9D34-410F-B710-D335B15AE8B7}</b:Guid>
    <b:Author>
      <b:Author>
        <b:Corporate>The Higher Education Academy</b:Corporate>
      </b:Author>
    </b:Author>
    <b:Title>Personal Development Planning</b:Title>
    <b:Year>2010</b:Year>
    <b:InternetSiteTitle>The Higher Education Academy</b:InternetSiteTitle>
    <b:ProductionCompany>The Higher Education Academy</b:ProductionCompany>
    <b:YearAccessed>2010</b:YearAccessed>
    <b:MonthAccessed>December</b:MonthAccessed>
    <b:DayAccessed>01</b:DayAccessed>
    <b:URL>http://www.heacademy.ac.uk/ourwork/teachingandlearning/pdp</b:URL>
    <b:RefOrder>12</b:RefOrder>
  </b:Source>
  <b:Source>
    <b:Tag>Eng10</b:Tag>
    <b:SourceType>Report</b:SourceType>
    <b:Guid>{EF535C2C-0E10-43A9-BEBF-4E02443CFC43}</b:Guid>
    <b:Author>
      <b:Author>
        <b:Corporate>Engineering Council</b:Corporate>
      </b:Author>
    </b:Author>
    <b:Title>UK Standard for Professional  Engineering Competence</b:Title>
    <b:Year>2010</b:Year>
    <b:City>London</b:City>
    <b:Publisher>Engineering Council</b:Publisher>
    <b:StandardNumber>978-1-898126-67-6</b:StandardNumber>
    <b:Pages>32</b:Pages>
    <b:RefOrder>13</b:RefOrder>
  </b:Source>
  <b:Source>
    <b:Tag>Dan08</b:Tag>
    <b:SourceType>Report</b:SourceType>
    <b:Guid>{4CEFC5E6-B5E1-46A6-A828-AD9C6C383433}</b:Guid>
    <b:Title>Job Mobility in the European Union: Optimisins its social and Economic Benefits</b:Title>
    <b:Year>2008</b:Year>
    <b:Author>
      <b:Author>
        <b:Corporate>Danish Technological Institute</b:Corporate>
      </b:Author>
    </b:Author>
    <b:Publisher>Danish technological Institute</b:Publisher>
    <b:Pages>158</b:Pages>
    <b:RefOrder>8</b:RefOrder>
  </b:Source>
</b:Sources>
</file>

<file path=customXml/itemProps1.xml><?xml version="1.0" encoding="utf-8"?>
<ds:datastoreItem xmlns:ds="http://schemas.openxmlformats.org/officeDocument/2006/customXml" ds:itemID="{6FD6760A-9442-4D81-A8BC-0463EEE52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2421</TotalTime>
  <Pages>8</Pages>
  <Words>3493</Words>
  <Characters>19911</Characters>
  <Application>Microsoft Office Word</Application>
  <DocSecurity>0</DocSecurity>
  <Lines>165</Lines>
  <Paragraphs>46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FORMAT FOR PAPERS FOR CLAIU EU CONFERENCE</vt:lpstr>
    </vt:vector>
  </TitlesOfParts>
  <Company>Engineers Ireland</Company>
  <LinksUpToDate>false</LinksUpToDate>
  <CharactersWithSpaces>23358</CharactersWithSpaces>
  <SharedDoc>false</SharedDoc>
  <HLinks>
    <vt:vector size="6" baseType="variant">
      <vt:variant>
        <vt:i4>5046333</vt:i4>
      </vt:variant>
      <vt:variant>
        <vt:i4>0</vt:i4>
      </vt:variant>
      <vt:variant>
        <vt:i4>0</vt:i4>
      </vt:variant>
      <vt:variant>
        <vt:i4>5</vt:i4>
      </vt:variant>
      <vt:variant>
        <vt:lpwstr>mailto:info@eur-ace.eu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Conference Article</dc:subject>
  <dc:creator>Joao Ponciano</dc:creator>
  <cp:lastModifiedBy>Joao Ponciano</cp:lastModifiedBy>
  <cp:revision>74</cp:revision>
  <cp:lastPrinted>2012-08-07T14:47:00Z</cp:lastPrinted>
  <dcterms:created xsi:type="dcterms:W3CDTF">2012-08-06T19:35:00Z</dcterms:created>
  <dcterms:modified xsi:type="dcterms:W3CDTF">2012-11-14T21:28:00Z</dcterms:modified>
</cp:coreProperties>
</file>