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00" w:rsidRDefault="00AB3200" w:rsidP="00AB3200">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ACQA as </w:t>
      </w:r>
      <w:r w:rsidR="007C52A5">
        <w:rPr>
          <w:rFonts w:ascii="Times New Roman" w:hAnsi="Times New Roman" w:cs="Times New Roman"/>
          <w:b/>
          <w:sz w:val="28"/>
          <w:szCs w:val="28"/>
          <w:lang w:val="en-US"/>
        </w:rPr>
        <w:t>an I</w:t>
      </w:r>
      <w:r w:rsidR="00771E59">
        <w:rPr>
          <w:rFonts w:ascii="Times New Roman" w:hAnsi="Times New Roman" w:cs="Times New Roman"/>
          <w:b/>
          <w:sz w:val="28"/>
          <w:szCs w:val="28"/>
          <w:lang w:val="en-US"/>
        </w:rPr>
        <w:t>nstrument</w:t>
      </w:r>
      <w:r w:rsidR="000361DE">
        <w:rPr>
          <w:rFonts w:ascii="Times New Roman" w:hAnsi="Times New Roman" w:cs="Times New Roman"/>
          <w:b/>
          <w:sz w:val="28"/>
          <w:szCs w:val="28"/>
          <w:lang w:val="en-US"/>
        </w:rPr>
        <w:t xml:space="preserve"> for Self-Assessment</w:t>
      </w:r>
      <w:r>
        <w:rPr>
          <w:rFonts w:ascii="Times New Roman" w:hAnsi="Times New Roman" w:cs="Times New Roman"/>
          <w:b/>
          <w:sz w:val="28"/>
          <w:szCs w:val="28"/>
          <w:lang w:val="en-US"/>
        </w:rPr>
        <w:t xml:space="preserve">: </w:t>
      </w:r>
    </w:p>
    <w:p w:rsidR="00F1554E" w:rsidRPr="00DB1BA2" w:rsidRDefault="00AB6D32" w:rsidP="00AB3200">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GB"/>
        </w:rPr>
        <w:t>Experiences</w:t>
      </w:r>
      <w:r w:rsidR="00AB3200" w:rsidRPr="007B470B">
        <w:rPr>
          <w:rFonts w:ascii="Times New Roman" w:hAnsi="Times New Roman" w:cs="Times New Roman"/>
          <w:b/>
          <w:sz w:val="28"/>
          <w:szCs w:val="28"/>
          <w:lang w:val="en-GB"/>
        </w:rPr>
        <w:t xml:space="preserve"> at th</w:t>
      </w:r>
      <w:r w:rsidR="00771E59" w:rsidRPr="007B470B">
        <w:rPr>
          <w:rFonts w:ascii="Times New Roman" w:hAnsi="Times New Roman" w:cs="Times New Roman"/>
          <w:b/>
          <w:sz w:val="28"/>
          <w:szCs w:val="28"/>
          <w:lang w:val="en-GB"/>
        </w:rPr>
        <w:t xml:space="preserve">e Faculty of Engineering </w:t>
      </w:r>
      <w:r w:rsidR="00E81551">
        <w:rPr>
          <w:rFonts w:ascii="Times New Roman" w:hAnsi="Times New Roman" w:cs="Times New Roman"/>
          <w:b/>
          <w:sz w:val="28"/>
          <w:szCs w:val="28"/>
          <w:lang w:val="en-GB"/>
        </w:rPr>
        <w:t xml:space="preserve">Science at </w:t>
      </w:r>
      <w:r w:rsidR="00771E59" w:rsidRPr="007B470B">
        <w:rPr>
          <w:rFonts w:ascii="Times New Roman" w:hAnsi="Times New Roman" w:cs="Times New Roman"/>
          <w:b/>
          <w:sz w:val="28"/>
          <w:szCs w:val="28"/>
          <w:lang w:val="en-GB"/>
        </w:rPr>
        <w:t>KU L</w:t>
      </w:r>
      <w:r w:rsidR="00AB3200" w:rsidRPr="007B470B">
        <w:rPr>
          <w:rFonts w:ascii="Times New Roman" w:hAnsi="Times New Roman" w:cs="Times New Roman"/>
          <w:b/>
          <w:sz w:val="28"/>
          <w:szCs w:val="28"/>
          <w:lang w:val="en-GB"/>
        </w:rPr>
        <w:t>euven</w:t>
      </w:r>
    </w:p>
    <w:p w:rsidR="00410F94" w:rsidRPr="00410F94" w:rsidRDefault="00E81551" w:rsidP="007D1E4A">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Londers E, Berbers Y</w:t>
      </w:r>
      <w:r w:rsidR="004F0AFA">
        <w:rPr>
          <w:rFonts w:ascii="Times New Roman" w:hAnsi="Times New Roman" w:cs="Times New Roman"/>
          <w:b/>
          <w:sz w:val="28"/>
          <w:szCs w:val="28"/>
          <w:lang w:val="en-US"/>
        </w:rPr>
        <w:t xml:space="preserve"> </w:t>
      </w:r>
      <w:r w:rsidR="00410F94" w:rsidRPr="00410F94">
        <w:rPr>
          <w:rFonts w:ascii="Times New Roman" w:hAnsi="Times New Roman" w:cs="Times New Roman"/>
          <w:b/>
          <w:sz w:val="28"/>
          <w:szCs w:val="28"/>
          <w:lang w:val="en-US"/>
        </w:rPr>
        <w:t>and Froyen L</w:t>
      </w:r>
    </w:p>
    <w:p w:rsidR="00410F94" w:rsidRDefault="00410F94" w:rsidP="007D1E4A">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Faculty of Engineering </w:t>
      </w:r>
      <w:r w:rsidR="009240F1">
        <w:rPr>
          <w:rFonts w:ascii="Times New Roman" w:hAnsi="Times New Roman" w:cs="Times New Roman"/>
          <w:b/>
          <w:sz w:val="28"/>
          <w:szCs w:val="28"/>
          <w:lang w:val="en-US"/>
        </w:rPr>
        <w:t>Science</w:t>
      </w:r>
    </w:p>
    <w:p w:rsidR="00DB1BA2" w:rsidRDefault="007D1E4A" w:rsidP="007D1E4A">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KU Leuven, University of Leuven</w:t>
      </w:r>
    </w:p>
    <w:p w:rsidR="007D1E4A" w:rsidRDefault="007D1E4A" w:rsidP="007D1E4A">
      <w:pPr>
        <w:spacing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Kasteelpark</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Arenberg</w:t>
      </w:r>
      <w:proofErr w:type="spellEnd"/>
      <w:r>
        <w:rPr>
          <w:rFonts w:ascii="Times New Roman" w:hAnsi="Times New Roman" w:cs="Times New Roman"/>
          <w:b/>
          <w:sz w:val="28"/>
          <w:szCs w:val="28"/>
          <w:lang w:val="en-US"/>
        </w:rPr>
        <w:t xml:space="preserve"> 1 bus 2200</w:t>
      </w:r>
    </w:p>
    <w:p w:rsidR="007D1E4A" w:rsidRDefault="007D1E4A" w:rsidP="007D1E4A">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BE-3001 </w:t>
      </w:r>
      <w:proofErr w:type="spellStart"/>
      <w:r>
        <w:rPr>
          <w:rFonts w:ascii="Times New Roman" w:hAnsi="Times New Roman" w:cs="Times New Roman"/>
          <w:b/>
          <w:sz w:val="28"/>
          <w:szCs w:val="28"/>
          <w:lang w:val="en-US"/>
        </w:rPr>
        <w:t>Heverlee</w:t>
      </w:r>
      <w:proofErr w:type="spellEnd"/>
    </w:p>
    <w:p w:rsidR="007D1E4A" w:rsidRDefault="007D1E4A" w:rsidP="007D1E4A">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+ 32 16321389</w:t>
      </w:r>
    </w:p>
    <w:p w:rsidR="007D1E4A" w:rsidRDefault="005A171A" w:rsidP="00134AD6">
      <w:pPr>
        <w:spacing w:line="240" w:lineRule="auto"/>
        <w:jc w:val="center"/>
        <w:rPr>
          <w:rFonts w:ascii="Times New Roman" w:hAnsi="Times New Roman" w:cs="Times New Roman"/>
          <w:b/>
          <w:sz w:val="28"/>
          <w:szCs w:val="28"/>
          <w:lang w:val="en-US"/>
        </w:rPr>
      </w:pPr>
      <w:hyperlink r:id="rId9" w:history="1">
        <w:r w:rsidR="007D1E4A" w:rsidRPr="007D2888">
          <w:rPr>
            <w:rStyle w:val="Hyperlink"/>
            <w:rFonts w:ascii="Times New Roman" w:hAnsi="Times New Roman" w:cs="Times New Roman"/>
            <w:b/>
            <w:sz w:val="28"/>
            <w:szCs w:val="28"/>
            <w:lang w:val="en-US"/>
          </w:rPr>
          <w:t>Elsje.Londers@eng.kuleuven.be</w:t>
        </w:r>
      </w:hyperlink>
    </w:p>
    <w:p w:rsidR="007D1E4A" w:rsidRDefault="007D1E4A" w:rsidP="00F648E0">
      <w:pPr>
        <w:spacing w:line="240" w:lineRule="auto"/>
        <w:jc w:val="both"/>
        <w:rPr>
          <w:rFonts w:ascii="Times New Roman" w:hAnsi="Times New Roman" w:cs="Times New Roman"/>
          <w:b/>
          <w:sz w:val="28"/>
          <w:szCs w:val="28"/>
          <w:lang w:val="en-US"/>
        </w:rPr>
      </w:pPr>
    </w:p>
    <w:p w:rsidR="007D1E4A" w:rsidRDefault="00CC76B3" w:rsidP="006F2DAC">
      <w:pPr>
        <w:pStyle w:val="ListParagraph"/>
        <w:numPr>
          <w:ilvl w:val="0"/>
          <w:numId w:val="1"/>
        </w:numPr>
        <w:spacing w:after="120" w:line="240" w:lineRule="auto"/>
        <w:ind w:left="357" w:hanging="357"/>
        <w:jc w:val="both"/>
        <w:rPr>
          <w:rFonts w:ascii="Times New Roman" w:hAnsi="Times New Roman" w:cs="Times New Roman"/>
          <w:b/>
          <w:sz w:val="28"/>
          <w:szCs w:val="28"/>
          <w:lang w:val="en-US"/>
        </w:rPr>
      </w:pPr>
      <w:r>
        <w:rPr>
          <w:rFonts w:ascii="Times New Roman" w:hAnsi="Times New Roman" w:cs="Times New Roman"/>
          <w:b/>
          <w:sz w:val="28"/>
          <w:szCs w:val="28"/>
          <w:lang w:val="en-US"/>
        </w:rPr>
        <w:t>Abstract</w:t>
      </w:r>
    </w:p>
    <w:p w:rsidR="008043A7" w:rsidRDefault="005F6FFB" w:rsidP="008043A7">
      <w:pPr>
        <w:spacing w:after="12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the last decennium learning outcomes became a key factor </w:t>
      </w:r>
      <w:r w:rsidR="007554E5">
        <w:rPr>
          <w:rFonts w:ascii="Times New Roman" w:hAnsi="Times New Roman" w:cs="Times New Roman"/>
          <w:sz w:val="20"/>
          <w:szCs w:val="20"/>
          <w:lang w:val="en-US"/>
        </w:rPr>
        <w:t>in accreditation procedures in higher education in Europe.</w:t>
      </w:r>
      <w:r w:rsidR="00AB3200">
        <w:rPr>
          <w:rFonts w:ascii="Times New Roman" w:hAnsi="Times New Roman" w:cs="Times New Roman"/>
          <w:sz w:val="20"/>
          <w:szCs w:val="20"/>
          <w:lang w:val="en-US"/>
        </w:rPr>
        <w:t xml:space="preserve"> Competence profiles are considered to be crucial in the evaluation of study</w:t>
      </w:r>
      <w:r w:rsidR="00AB3200" w:rsidRPr="007B470B">
        <w:rPr>
          <w:rFonts w:ascii="Times New Roman" w:hAnsi="Times New Roman" w:cs="Times New Roman"/>
          <w:sz w:val="20"/>
          <w:szCs w:val="20"/>
          <w:lang w:val="en-GB"/>
        </w:rPr>
        <w:t xml:space="preserve"> programmes</w:t>
      </w:r>
      <w:r w:rsidR="00AB3200">
        <w:rPr>
          <w:rFonts w:ascii="Times New Roman" w:hAnsi="Times New Roman" w:cs="Times New Roman"/>
          <w:sz w:val="20"/>
          <w:szCs w:val="20"/>
          <w:lang w:val="en-US"/>
        </w:rPr>
        <w:t xml:space="preserve">. </w:t>
      </w:r>
      <w:r w:rsidR="00FB5362">
        <w:rPr>
          <w:rFonts w:ascii="Times New Roman" w:hAnsi="Times New Roman" w:cs="Times New Roman"/>
          <w:sz w:val="20"/>
          <w:szCs w:val="20"/>
          <w:lang w:val="en-US"/>
        </w:rPr>
        <w:t>In this paper</w:t>
      </w:r>
      <w:r w:rsidR="004D0670">
        <w:rPr>
          <w:rFonts w:ascii="Times New Roman" w:hAnsi="Times New Roman" w:cs="Times New Roman"/>
          <w:sz w:val="20"/>
          <w:szCs w:val="20"/>
          <w:lang w:val="en-US"/>
        </w:rPr>
        <w:t xml:space="preserve"> we describe </w:t>
      </w:r>
      <w:r w:rsidR="000361DE">
        <w:rPr>
          <w:rFonts w:ascii="Times New Roman" w:hAnsi="Times New Roman" w:cs="Times New Roman"/>
          <w:sz w:val="20"/>
          <w:szCs w:val="20"/>
          <w:lang w:val="en-US"/>
        </w:rPr>
        <w:t>the use of the ACQA framework when</w:t>
      </w:r>
      <w:r w:rsidR="004D0670">
        <w:rPr>
          <w:rFonts w:ascii="Times New Roman" w:hAnsi="Times New Roman" w:cs="Times New Roman"/>
          <w:sz w:val="20"/>
          <w:szCs w:val="20"/>
          <w:lang w:val="en-US"/>
        </w:rPr>
        <w:t xml:space="preserve"> evaluating learning outcomes</w:t>
      </w:r>
      <w:r w:rsidR="007F2C9E">
        <w:rPr>
          <w:rFonts w:ascii="Times New Roman" w:hAnsi="Times New Roman" w:cs="Times New Roman"/>
          <w:sz w:val="20"/>
          <w:szCs w:val="20"/>
          <w:lang w:val="en-US"/>
        </w:rPr>
        <w:t xml:space="preserve"> of engineering </w:t>
      </w:r>
      <w:proofErr w:type="spellStart"/>
      <w:r w:rsidR="007F2C9E">
        <w:rPr>
          <w:rFonts w:ascii="Times New Roman" w:hAnsi="Times New Roman" w:cs="Times New Roman"/>
          <w:sz w:val="20"/>
          <w:szCs w:val="20"/>
          <w:lang w:val="en-US"/>
        </w:rPr>
        <w:t>programmes</w:t>
      </w:r>
      <w:proofErr w:type="spellEnd"/>
      <w:r w:rsidR="007F2C9E">
        <w:rPr>
          <w:rFonts w:ascii="Times New Roman" w:hAnsi="Times New Roman" w:cs="Times New Roman"/>
          <w:sz w:val="20"/>
          <w:szCs w:val="20"/>
          <w:lang w:val="en-US"/>
        </w:rPr>
        <w:t xml:space="preserve"> at the Faculty of Engineering Science at KU Leuven.</w:t>
      </w:r>
    </w:p>
    <w:p w:rsidR="00AE5C10" w:rsidRDefault="000361DE" w:rsidP="004547D4">
      <w:pPr>
        <w:spacing w:after="12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Experience learns that t</w:t>
      </w:r>
      <w:r w:rsidR="007F2C9E">
        <w:rPr>
          <w:rFonts w:ascii="Times New Roman" w:hAnsi="Times New Roman" w:cs="Times New Roman"/>
          <w:sz w:val="20"/>
          <w:szCs w:val="20"/>
          <w:lang w:val="en-US"/>
        </w:rPr>
        <w:t xml:space="preserve">he resulting competence profiles are actively used in self-assessment reports and </w:t>
      </w:r>
      <w:r>
        <w:rPr>
          <w:rFonts w:ascii="Times New Roman" w:hAnsi="Times New Roman" w:cs="Times New Roman"/>
          <w:sz w:val="20"/>
          <w:szCs w:val="20"/>
          <w:lang w:val="en-US"/>
        </w:rPr>
        <w:t xml:space="preserve">are well received by </w:t>
      </w:r>
      <w:r w:rsidR="007F2C9E">
        <w:rPr>
          <w:rFonts w:ascii="Times New Roman" w:hAnsi="Times New Roman" w:cs="Times New Roman"/>
          <w:sz w:val="20"/>
          <w:szCs w:val="20"/>
          <w:lang w:val="en-US"/>
        </w:rPr>
        <w:t xml:space="preserve">visitation committees. The use of the ACQA framework at several European universities </w:t>
      </w:r>
      <w:r>
        <w:rPr>
          <w:rFonts w:ascii="Times New Roman" w:hAnsi="Times New Roman" w:cs="Times New Roman"/>
          <w:sz w:val="20"/>
          <w:szCs w:val="20"/>
          <w:lang w:val="en-US"/>
        </w:rPr>
        <w:t xml:space="preserve">also </w:t>
      </w:r>
      <w:r w:rsidR="007F2C9E">
        <w:rPr>
          <w:rFonts w:ascii="Times New Roman" w:hAnsi="Times New Roman" w:cs="Times New Roman"/>
          <w:sz w:val="20"/>
          <w:szCs w:val="20"/>
          <w:lang w:val="en-US"/>
        </w:rPr>
        <w:t xml:space="preserve">allows international benchmarking. </w:t>
      </w:r>
      <w:r w:rsidR="00D71B5A">
        <w:rPr>
          <w:rFonts w:ascii="Times New Roman" w:hAnsi="Times New Roman" w:cs="Times New Roman"/>
          <w:sz w:val="20"/>
          <w:szCs w:val="20"/>
          <w:lang w:val="en-US"/>
        </w:rPr>
        <w:t>Next to lecturers’ intentions, a</w:t>
      </w:r>
      <w:r w:rsidR="007F2C9E">
        <w:rPr>
          <w:rFonts w:ascii="Times New Roman" w:hAnsi="Times New Roman" w:cs="Times New Roman"/>
          <w:sz w:val="20"/>
          <w:szCs w:val="20"/>
          <w:lang w:val="en-US"/>
        </w:rPr>
        <w:t>lso stakeholders’ opinions can be formulated and discussed based on the ACQA framework. In the future</w:t>
      </w:r>
      <w:r w:rsidR="00D71B5A">
        <w:rPr>
          <w:rFonts w:ascii="Times New Roman" w:hAnsi="Times New Roman" w:cs="Times New Roman"/>
          <w:sz w:val="20"/>
          <w:szCs w:val="20"/>
          <w:lang w:val="en-US"/>
        </w:rPr>
        <w:t>, a more quantitative approach of the employers’ and graduates’ vision is needed for further fine-tuning of the use of the ACQA framework within self-assessment reports.</w:t>
      </w:r>
    </w:p>
    <w:p w:rsidR="000361DE" w:rsidRPr="000361DE" w:rsidRDefault="000361DE" w:rsidP="004547D4">
      <w:pPr>
        <w:spacing w:after="120" w:line="240" w:lineRule="auto"/>
        <w:jc w:val="both"/>
        <w:rPr>
          <w:rFonts w:ascii="Times New Roman" w:hAnsi="Times New Roman" w:cs="Times New Roman"/>
          <w:sz w:val="20"/>
          <w:szCs w:val="20"/>
          <w:lang w:val="en-US"/>
        </w:rPr>
      </w:pPr>
    </w:p>
    <w:p w:rsidR="00AE5C10" w:rsidRDefault="00AE5C10" w:rsidP="006F2DAC">
      <w:pPr>
        <w:pStyle w:val="ListParagraph"/>
        <w:numPr>
          <w:ilvl w:val="0"/>
          <w:numId w:val="1"/>
        </w:numPr>
        <w:spacing w:after="120" w:line="240" w:lineRule="auto"/>
        <w:ind w:left="357" w:hanging="357"/>
        <w:jc w:val="both"/>
        <w:rPr>
          <w:rFonts w:ascii="Times New Roman" w:hAnsi="Times New Roman" w:cs="Times New Roman"/>
          <w:b/>
          <w:sz w:val="28"/>
          <w:szCs w:val="28"/>
          <w:lang w:val="en-US"/>
        </w:rPr>
      </w:pPr>
      <w:r>
        <w:rPr>
          <w:rFonts w:ascii="Times New Roman" w:hAnsi="Times New Roman" w:cs="Times New Roman"/>
          <w:b/>
          <w:sz w:val="28"/>
          <w:szCs w:val="28"/>
          <w:lang w:val="en-US"/>
        </w:rPr>
        <w:t>Introduction</w:t>
      </w:r>
    </w:p>
    <w:p w:rsidR="000B3B7F" w:rsidRDefault="000E4E42" w:rsidP="000E4E4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 Bologna declaration, Higher Education in Europe focuses increasingly on learning-oriented education. Curricula </w:t>
      </w:r>
      <w:r w:rsidR="009561ED">
        <w:rPr>
          <w:rFonts w:ascii="Times New Roman" w:hAnsi="Times New Roman" w:cs="Times New Roman"/>
          <w:sz w:val="24"/>
          <w:szCs w:val="24"/>
          <w:lang w:val="en-US"/>
        </w:rPr>
        <w:t>are to be specified by learning outcomes</w:t>
      </w:r>
      <w:r w:rsidR="00C74511">
        <w:rPr>
          <w:rFonts w:ascii="Times New Roman" w:hAnsi="Times New Roman" w:cs="Times New Roman"/>
          <w:sz w:val="24"/>
          <w:szCs w:val="24"/>
          <w:lang w:val="en-US"/>
        </w:rPr>
        <w:t>.</w:t>
      </w:r>
      <w:r w:rsidR="00D6541F">
        <w:rPr>
          <w:rFonts w:ascii="Times New Roman" w:hAnsi="Times New Roman" w:cs="Times New Roman"/>
          <w:sz w:val="24"/>
          <w:szCs w:val="24"/>
          <w:lang w:val="en-US"/>
        </w:rPr>
        <w:t xml:space="preserve"> Competence profiles, i.e. the knowledge, skills and competences graduates have acquired after successful complet</w:t>
      </w:r>
      <w:r w:rsidR="00882202">
        <w:rPr>
          <w:rFonts w:ascii="Times New Roman" w:hAnsi="Times New Roman" w:cs="Times New Roman"/>
          <w:sz w:val="24"/>
          <w:szCs w:val="24"/>
          <w:lang w:val="en-US"/>
        </w:rPr>
        <w:t>ion of the study</w:t>
      </w:r>
      <w:r w:rsidR="00882202" w:rsidRPr="007B470B">
        <w:rPr>
          <w:rFonts w:ascii="Times New Roman" w:hAnsi="Times New Roman" w:cs="Times New Roman"/>
          <w:sz w:val="24"/>
          <w:szCs w:val="24"/>
          <w:lang w:val="en-GB"/>
        </w:rPr>
        <w:t xml:space="preserve"> programme</w:t>
      </w:r>
      <w:r w:rsidR="00CC76B3">
        <w:rPr>
          <w:rFonts w:ascii="Times New Roman" w:hAnsi="Times New Roman" w:cs="Times New Roman"/>
          <w:sz w:val="24"/>
          <w:szCs w:val="24"/>
          <w:lang w:val="en-US"/>
        </w:rPr>
        <w:t>, beco</w:t>
      </w:r>
      <w:r w:rsidR="007B470B">
        <w:rPr>
          <w:rFonts w:ascii="Times New Roman" w:hAnsi="Times New Roman" w:cs="Times New Roman"/>
          <w:sz w:val="24"/>
          <w:szCs w:val="24"/>
          <w:lang w:val="en-US"/>
        </w:rPr>
        <w:t>me es</w:t>
      </w:r>
      <w:r w:rsidR="00CC76B3">
        <w:rPr>
          <w:rFonts w:ascii="Times New Roman" w:hAnsi="Times New Roman" w:cs="Times New Roman"/>
          <w:sz w:val="24"/>
          <w:szCs w:val="24"/>
          <w:lang w:val="en-US"/>
        </w:rPr>
        <w:t>sential parts of self-assessment</w:t>
      </w:r>
      <w:r w:rsidR="007B470B">
        <w:rPr>
          <w:rFonts w:ascii="Times New Roman" w:hAnsi="Times New Roman" w:cs="Times New Roman"/>
          <w:sz w:val="24"/>
          <w:szCs w:val="24"/>
          <w:lang w:val="en-US"/>
        </w:rPr>
        <w:t xml:space="preserve"> </w:t>
      </w:r>
      <w:r w:rsidR="00D6541F">
        <w:rPr>
          <w:rFonts w:ascii="Times New Roman" w:hAnsi="Times New Roman" w:cs="Times New Roman"/>
          <w:sz w:val="24"/>
          <w:szCs w:val="24"/>
          <w:lang w:val="en-US"/>
        </w:rPr>
        <w:t>procedures.</w:t>
      </w:r>
      <w:r w:rsidR="000B3B7F">
        <w:rPr>
          <w:rFonts w:ascii="Times New Roman" w:hAnsi="Times New Roman" w:cs="Times New Roman"/>
          <w:sz w:val="24"/>
          <w:szCs w:val="24"/>
          <w:lang w:val="en-US"/>
        </w:rPr>
        <w:t xml:space="preserve"> </w:t>
      </w:r>
      <w:r w:rsidR="00047AF3">
        <w:rPr>
          <w:rFonts w:ascii="Times New Roman" w:hAnsi="Times New Roman" w:cs="Times New Roman"/>
          <w:sz w:val="24"/>
          <w:szCs w:val="24"/>
          <w:lang w:val="en-US"/>
        </w:rPr>
        <w:t>Several</w:t>
      </w:r>
      <w:r w:rsidR="00AE5C10">
        <w:rPr>
          <w:rFonts w:ascii="Times New Roman" w:hAnsi="Times New Roman" w:cs="Times New Roman"/>
          <w:sz w:val="24"/>
          <w:szCs w:val="24"/>
          <w:lang w:val="en-US"/>
        </w:rPr>
        <w:t xml:space="preserve"> outcome oriented schemes are available in the domain of engineering: Dublin </w:t>
      </w:r>
      <w:r w:rsidR="008F3D23">
        <w:rPr>
          <w:rFonts w:ascii="Times New Roman" w:hAnsi="Times New Roman" w:cs="Times New Roman"/>
          <w:sz w:val="24"/>
          <w:szCs w:val="24"/>
          <w:lang w:val="en-US"/>
        </w:rPr>
        <w:t>Descriptors, ABET criteria, Tuning project descriptors</w:t>
      </w:r>
      <w:r w:rsidR="004B6F89">
        <w:rPr>
          <w:rFonts w:ascii="Times New Roman" w:hAnsi="Times New Roman" w:cs="Times New Roman"/>
          <w:sz w:val="24"/>
          <w:szCs w:val="24"/>
          <w:lang w:val="en-US"/>
        </w:rPr>
        <w:t>, European Qualification Framework</w:t>
      </w:r>
      <w:r w:rsidR="008E5274">
        <w:rPr>
          <w:rFonts w:ascii="Times New Roman" w:hAnsi="Times New Roman" w:cs="Times New Roman"/>
          <w:sz w:val="24"/>
          <w:szCs w:val="24"/>
          <w:lang w:val="en-US"/>
        </w:rPr>
        <w:t>, EUR-ACE Framework Standards</w:t>
      </w:r>
      <w:r w:rsidR="004B6F89">
        <w:rPr>
          <w:rFonts w:ascii="Times New Roman" w:hAnsi="Times New Roman" w:cs="Times New Roman"/>
          <w:sz w:val="24"/>
          <w:szCs w:val="24"/>
          <w:lang w:val="en-US"/>
        </w:rPr>
        <w:t>.</w:t>
      </w:r>
      <w:r w:rsidR="009C5C73">
        <w:rPr>
          <w:rFonts w:ascii="Times New Roman" w:hAnsi="Times New Roman" w:cs="Times New Roman"/>
          <w:sz w:val="24"/>
          <w:szCs w:val="24"/>
          <w:lang w:val="en-US"/>
        </w:rPr>
        <w:t xml:space="preserve"> </w:t>
      </w:r>
    </w:p>
    <w:p w:rsidR="007D1E4A" w:rsidRDefault="009C5C73" w:rsidP="000E4E4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w:t>
      </w:r>
      <w:r w:rsidR="008E5274">
        <w:rPr>
          <w:rFonts w:ascii="Times New Roman" w:hAnsi="Times New Roman" w:cs="Times New Roman"/>
          <w:sz w:val="24"/>
          <w:szCs w:val="24"/>
          <w:lang w:val="en-US"/>
        </w:rPr>
        <w:t xml:space="preserve">other </w:t>
      </w:r>
      <w:r>
        <w:rPr>
          <w:rFonts w:ascii="Times New Roman" w:hAnsi="Times New Roman" w:cs="Times New Roman"/>
          <w:sz w:val="24"/>
          <w:szCs w:val="24"/>
          <w:lang w:val="en-US"/>
        </w:rPr>
        <w:t>interestin</w:t>
      </w:r>
      <w:r w:rsidR="00CA7AB9">
        <w:rPr>
          <w:rFonts w:ascii="Times New Roman" w:hAnsi="Times New Roman" w:cs="Times New Roman"/>
          <w:sz w:val="24"/>
          <w:szCs w:val="24"/>
          <w:lang w:val="en-US"/>
        </w:rPr>
        <w:t xml:space="preserve">g outcome oriented framework </w:t>
      </w:r>
      <w:r w:rsidR="000B3B7F">
        <w:rPr>
          <w:rFonts w:ascii="Times New Roman" w:hAnsi="Times New Roman" w:cs="Times New Roman"/>
          <w:sz w:val="24"/>
          <w:szCs w:val="24"/>
          <w:lang w:val="en-US"/>
        </w:rPr>
        <w:t>is</w:t>
      </w:r>
      <w:r w:rsidR="00CA7AB9">
        <w:rPr>
          <w:rFonts w:ascii="Times New Roman" w:hAnsi="Times New Roman" w:cs="Times New Roman"/>
          <w:sz w:val="24"/>
          <w:szCs w:val="24"/>
          <w:lang w:val="en-US"/>
        </w:rPr>
        <w:t xml:space="preserve"> </w:t>
      </w:r>
      <w:r>
        <w:rPr>
          <w:rFonts w:ascii="Times New Roman" w:hAnsi="Times New Roman" w:cs="Times New Roman"/>
          <w:sz w:val="24"/>
          <w:szCs w:val="24"/>
          <w:lang w:val="en-US"/>
        </w:rPr>
        <w:t>ACQA (Academic Competences</w:t>
      </w:r>
      <w:r w:rsidR="000B3B7F">
        <w:rPr>
          <w:rFonts w:ascii="Times New Roman" w:hAnsi="Times New Roman" w:cs="Times New Roman"/>
          <w:sz w:val="24"/>
          <w:szCs w:val="24"/>
          <w:lang w:val="en-US"/>
        </w:rPr>
        <w:t xml:space="preserve"> and Quality Assurance)</w:t>
      </w:r>
      <w:r>
        <w:rPr>
          <w:rFonts w:ascii="Times New Roman" w:hAnsi="Times New Roman" w:cs="Times New Roman"/>
          <w:sz w:val="24"/>
          <w:szCs w:val="24"/>
          <w:lang w:val="en-US"/>
        </w:rPr>
        <w:t xml:space="preserve">, </w:t>
      </w:r>
      <w:r w:rsidR="00CA7AB9">
        <w:rPr>
          <w:rFonts w:ascii="Times New Roman" w:hAnsi="Times New Roman" w:cs="Times New Roman"/>
          <w:sz w:val="24"/>
          <w:szCs w:val="24"/>
          <w:lang w:val="en-US"/>
        </w:rPr>
        <w:t>co</w:t>
      </w:r>
      <w:r w:rsidR="000B3B7F">
        <w:rPr>
          <w:rFonts w:ascii="Times New Roman" w:hAnsi="Times New Roman" w:cs="Times New Roman"/>
          <w:sz w:val="24"/>
          <w:szCs w:val="24"/>
          <w:lang w:val="en-US"/>
        </w:rPr>
        <w:t>-</w:t>
      </w:r>
      <w:r>
        <w:rPr>
          <w:rFonts w:ascii="Times New Roman" w:hAnsi="Times New Roman" w:cs="Times New Roman"/>
          <w:sz w:val="24"/>
          <w:szCs w:val="24"/>
          <w:lang w:val="en-US"/>
        </w:rPr>
        <w:t xml:space="preserve">developed at </w:t>
      </w:r>
      <w:proofErr w:type="spellStart"/>
      <w:r w:rsidR="00047AF3">
        <w:rPr>
          <w:rFonts w:ascii="Times New Roman" w:hAnsi="Times New Roman" w:cs="Times New Roman"/>
          <w:sz w:val="24"/>
          <w:szCs w:val="24"/>
          <w:lang w:val="en-US"/>
        </w:rPr>
        <w:t>TUDelft</w:t>
      </w:r>
      <w:proofErr w:type="spellEnd"/>
      <w:r w:rsidR="00047AF3">
        <w:rPr>
          <w:rFonts w:ascii="Times New Roman" w:hAnsi="Times New Roman" w:cs="Times New Roman"/>
          <w:sz w:val="24"/>
          <w:szCs w:val="24"/>
          <w:lang w:val="en-US"/>
        </w:rPr>
        <w:t>, TU/e a</w:t>
      </w:r>
      <w:r w:rsidR="009876BE">
        <w:rPr>
          <w:rFonts w:ascii="Times New Roman" w:hAnsi="Times New Roman" w:cs="Times New Roman"/>
          <w:sz w:val="24"/>
          <w:szCs w:val="24"/>
          <w:lang w:val="en-US"/>
        </w:rPr>
        <w:t xml:space="preserve">nd </w:t>
      </w:r>
      <w:r w:rsidR="00CA7AB9">
        <w:rPr>
          <w:rFonts w:ascii="Times New Roman" w:hAnsi="Times New Roman" w:cs="Times New Roman"/>
          <w:sz w:val="24"/>
          <w:szCs w:val="24"/>
          <w:lang w:val="en-US"/>
        </w:rPr>
        <w:t xml:space="preserve">the </w:t>
      </w:r>
      <w:r w:rsidR="009876BE">
        <w:rPr>
          <w:rFonts w:ascii="Times New Roman" w:hAnsi="Times New Roman" w:cs="Times New Roman"/>
          <w:sz w:val="24"/>
          <w:szCs w:val="24"/>
          <w:lang w:val="en-US"/>
        </w:rPr>
        <w:t xml:space="preserve">University of </w:t>
      </w:r>
      <w:proofErr w:type="spellStart"/>
      <w:r w:rsidR="009876BE">
        <w:rPr>
          <w:rFonts w:ascii="Times New Roman" w:hAnsi="Times New Roman" w:cs="Times New Roman"/>
          <w:sz w:val="24"/>
          <w:szCs w:val="24"/>
          <w:lang w:val="en-US"/>
        </w:rPr>
        <w:t>Twente</w:t>
      </w:r>
      <w:proofErr w:type="spellEnd"/>
      <w:r>
        <w:rPr>
          <w:rFonts w:ascii="Times New Roman" w:hAnsi="Times New Roman" w:cs="Times New Roman"/>
          <w:sz w:val="24"/>
          <w:szCs w:val="24"/>
          <w:lang w:val="en-US"/>
        </w:rPr>
        <w:t xml:space="preserve"> (The Netherlands</w:t>
      </w:r>
      <w:r w:rsidR="009876BE">
        <w:rPr>
          <w:rFonts w:ascii="Times New Roman" w:hAnsi="Times New Roman" w:cs="Times New Roman"/>
          <w:sz w:val="24"/>
          <w:szCs w:val="24"/>
          <w:lang w:val="en-US"/>
        </w:rPr>
        <w:t>) (</w:t>
      </w:r>
      <w:proofErr w:type="spellStart"/>
      <w:r w:rsidR="009876BE">
        <w:rPr>
          <w:rFonts w:ascii="Times New Roman" w:hAnsi="Times New Roman" w:cs="Times New Roman"/>
          <w:sz w:val="24"/>
          <w:szCs w:val="24"/>
          <w:lang w:val="en-US"/>
        </w:rPr>
        <w:t>Meijers</w:t>
      </w:r>
      <w:proofErr w:type="spellEnd"/>
      <w:r w:rsidR="009876BE">
        <w:rPr>
          <w:rFonts w:ascii="Times New Roman" w:hAnsi="Times New Roman" w:cs="Times New Roman"/>
          <w:sz w:val="24"/>
          <w:szCs w:val="24"/>
          <w:lang w:val="en-US"/>
        </w:rPr>
        <w:t xml:space="preserve"> </w:t>
      </w:r>
      <w:r w:rsidR="009876BE" w:rsidRPr="009876BE">
        <w:rPr>
          <w:rFonts w:ascii="Times New Roman" w:hAnsi="Times New Roman" w:cs="Times New Roman"/>
          <w:i/>
          <w:sz w:val="24"/>
          <w:szCs w:val="24"/>
          <w:lang w:val="en-US"/>
        </w:rPr>
        <w:t>et al</w:t>
      </w:r>
      <w:r w:rsidR="009876BE">
        <w:rPr>
          <w:rFonts w:ascii="Times New Roman" w:hAnsi="Times New Roman" w:cs="Times New Roman"/>
          <w:sz w:val="24"/>
          <w:szCs w:val="24"/>
          <w:lang w:val="en-US"/>
        </w:rPr>
        <w:t>., 2005).</w:t>
      </w:r>
      <w:r w:rsidR="009561ED">
        <w:rPr>
          <w:rFonts w:ascii="Times New Roman" w:hAnsi="Times New Roman" w:cs="Times New Roman"/>
          <w:sz w:val="24"/>
          <w:szCs w:val="24"/>
          <w:lang w:val="en-US"/>
        </w:rPr>
        <w:t xml:space="preserve"> The ACQA criteria for academic Bachelor’s and M</w:t>
      </w:r>
      <w:r w:rsidR="00047AF3">
        <w:rPr>
          <w:rFonts w:ascii="Times New Roman" w:hAnsi="Times New Roman" w:cs="Times New Roman"/>
          <w:sz w:val="24"/>
          <w:szCs w:val="24"/>
          <w:lang w:val="en-US"/>
        </w:rPr>
        <w:t>aster’s Curricula can be regarde</w:t>
      </w:r>
      <w:r w:rsidR="00CA7AB9">
        <w:rPr>
          <w:rFonts w:ascii="Times New Roman" w:hAnsi="Times New Roman" w:cs="Times New Roman"/>
          <w:sz w:val="24"/>
          <w:szCs w:val="24"/>
          <w:lang w:val="en-US"/>
        </w:rPr>
        <w:t>d as a</w:t>
      </w:r>
      <w:r w:rsidR="009561ED">
        <w:rPr>
          <w:rFonts w:ascii="Times New Roman" w:hAnsi="Times New Roman" w:cs="Times New Roman"/>
          <w:sz w:val="24"/>
          <w:szCs w:val="24"/>
          <w:lang w:val="en-US"/>
        </w:rPr>
        <w:t xml:space="preserve"> translation into operational terms of the far broader Dublin descriptors.</w:t>
      </w:r>
      <w:r w:rsidR="00CA7AB9">
        <w:rPr>
          <w:rFonts w:ascii="Times New Roman" w:hAnsi="Times New Roman" w:cs="Times New Roman"/>
          <w:sz w:val="24"/>
          <w:szCs w:val="24"/>
          <w:lang w:val="en-US"/>
        </w:rPr>
        <w:t xml:space="preserve"> With designing and application included in the framework, it is </w:t>
      </w:r>
      <w:r w:rsidR="008E5274">
        <w:rPr>
          <w:rFonts w:ascii="Times New Roman" w:hAnsi="Times New Roman" w:cs="Times New Roman"/>
          <w:sz w:val="24"/>
          <w:szCs w:val="24"/>
          <w:lang w:val="en-US"/>
        </w:rPr>
        <w:t xml:space="preserve">considered to be </w:t>
      </w:r>
      <w:r w:rsidR="00CA7AB9">
        <w:rPr>
          <w:rFonts w:ascii="Times New Roman" w:hAnsi="Times New Roman" w:cs="Times New Roman"/>
          <w:sz w:val="24"/>
          <w:szCs w:val="24"/>
          <w:lang w:val="en-US"/>
        </w:rPr>
        <w:t>very suitable for</w:t>
      </w:r>
      <w:r w:rsidR="00CA7AB9" w:rsidRPr="007B470B">
        <w:rPr>
          <w:rFonts w:ascii="Times New Roman" w:hAnsi="Times New Roman" w:cs="Times New Roman"/>
          <w:sz w:val="24"/>
          <w:szCs w:val="24"/>
          <w:lang w:val="en-GB"/>
        </w:rPr>
        <w:t xml:space="preserve"> characterising</w:t>
      </w:r>
      <w:r w:rsidR="00CA7AB9">
        <w:rPr>
          <w:rFonts w:ascii="Times New Roman" w:hAnsi="Times New Roman" w:cs="Times New Roman"/>
          <w:sz w:val="24"/>
          <w:szCs w:val="24"/>
          <w:lang w:val="en-US"/>
        </w:rPr>
        <w:t xml:space="preserve"> engineering curricula.</w:t>
      </w:r>
      <w:r w:rsidR="008E5274">
        <w:rPr>
          <w:rFonts w:ascii="Times New Roman" w:hAnsi="Times New Roman" w:cs="Times New Roman"/>
          <w:sz w:val="24"/>
          <w:szCs w:val="24"/>
          <w:lang w:val="en-US"/>
        </w:rPr>
        <w:t xml:space="preserve"> T</w:t>
      </w:r>
      <w:r w:rsidR="009516A4">
        <w:rPr>
          <w:rFonts w:ascii="Times New Roman" w:hAnsi="Times New Roman" w:cs="Times New Roman"/>
          <w:sz w:val="24"/>
          <w:szCs w:val="24"/>
          <w:lang w:val="en-US"/>
        </w:rPr>
        <w:t>he ACQA framework is</w:t>
      </w:r>
      <w:r w:rsidR="008E5274">
        <w:rPr>
          <w:rFonts w:ascii="Times New Roman" w:hAnsi="Times New Roman" w:cs="Times New Roman"/>
          <w:sz w:val="24"/>
          <w:szCs w:val="24"/>
          <w:lang w:val="en-US"/>
        </w:rPr>
        <w:t xml:space="preserve"> </w:t>
      </w:r>
      <w:r w:rsidR="009516A4">
        <w:rPr>
          <w:rFonts w:ascii="Times New Roman" w:hAnsi="Times New Roman" w:cs="Times New Roman"/>
          <w:sz w:val="24"/>
          <w:szCs w:val="24"/>
          <w:lang w:val="en-US"/>
        </w:rPr>
        <w:t xml:space="preserve">also </w:t>
      </w:r>
      <w:r w:rsidR="008E5274">
        <w:rPr>
          <w:rFonts w:ascii="Times New Roman" w:hAnsi="Times New Roman" w:cs="Times New Roman"/>
          <w:sz w:val="24"/>
          <w:szCs w:val="24"/>
          <w:lang w:val="en-US"/>
        </w:rPr>
        <w:t>well appreciated for its accompanying methodology resulting in quantitative based competence profiles (</w:t>
      </w:r>
      <w:proofErr w:type="spellStart"/>
      <w:r w:rsidR="009516A4">
        <w:rPr>
          <w:rFonts w:ascii="Times New Roman" w:hAnsi="Times New Roman" w:cs="Times New Roman"/>
          <w:sz w:val="24"/>
          <w:szCs w:val="24"/>
          <w:lang w:val="en-US"/>
        </w:rPr>
        <w:t>Heiss</w:t>
      </w:r>
      <w:proofErr w:type="spellEnd"/>
      <w:r w:rsidR="009516A4">
        <w:rPr>
          <w:rFonts w:ascii="Times New Roman" w:hAnsi="Times New Roman" w:cs="Times New Roman"/>
          <w:sz w:val="24"/>
          <w:szCs w:val="24"/>
          <w:lang w:val="en-US"/>
        </w:rPr>
        <w:t xml:space="preserve"> and </w:t>
      </w:r>
      <w:proofErr w:type="spellStart"/>
      <w:r w:rsidR="009516A4">
        <w:rPr>
          <w:rFonts w:ascii="Times New Roman" w:hAnsi="Times New Roman" w:cs="Times New Roman"/>
          <w:sz w:val="24"/>
          <w:szCs w:val="24"/>
          <w:lang w:val="en-US"/>
        </w:rPr>
        <w:t>Raue</w:t>
      </w:r>
      <w:proofErr w:type="spellEnd"/>
      <w:r w:rsidR="00044DFF">
        <w:rPr>
          <w:rFonts w:ascii="Times New Roman" w:hAnsi="Times New Roman" w:cs="Times New Roman"/>
          <w:sz w:val="24"/>
          <w:szCs w:val="24"/>
          <w:lang w:val="en-US"/>
        </w:rPr>
        <w:t xml:space="preserve"> 2009</w:t>
      </w:r>
      <w:r w:rsidR="009516A4">
        <w:rPr>
          <w:rFonts w:ascii="Times New Roman" w:hAnsi="Times New Roman" w:cs="Times New Roman"/>
          <w:sz w:val="24"/>
          <w:szCs w:val="24"/>
          <w:lang w:val="en-US"/>
        </w:rPr>
        <w:t xml:space="preserve">; </w:t>
      </w:r>
      <w:r w:rsidR="008E5274">
        <w:rPr>
          <w:rFonts w:ascii="Times New Roman" w:hAnsi="Times New Roman" w:cs="Times New Roman"/>
          <w:sz w:val="24"/>
          <w:szCs w:val="24"/>
          <w:lang w:val="en-US"/>
        </w:rPr>
        <w:t xml:space="preserve">Londers </w:t>
      </w:r>
      <w:r w:rsidR="008E5274" w:rsidRPr="009516A4">
        <w:rPr>
          <w:rFonts w:ascii="Times New Roman" w:hAnsi="Times New Roman" w:cs="Times New Roman"/>
          <w:i/>
          <w:sz w:val="24"/>
          <w:szCs w:val="24"/>
          <w:lang w:val="en-US"/>
        </w:rPr>
        <w:t>et al</w:t>
      </w:r>
      <w:r w:rsidR="008E5274">
        <w:rPr>
          <w:rFonts w:ascii="Times New Roman" w:hAnsi="Times New Roman" w:cs="Times New Roman"/>
          <w:sz w:val="24"/>
          <w:szCs w:val="24"/>
          <w:lang w:val="en-US"/>
        </w:rPr>
        <w:t>., 2011)</w:t>
      </w:r>
      <w:r w:rsidR="00044DFF">
        <w:rPr>
          <w:rFonts w:ascii="Times New Roman" w:hAnsi="Times New Roman" w:cs="Times New Roman"/>
          <w:sz w:val="24"/>
          <w:szCs w:val="24"/>
          <w:lang w:val="en-US"/>
        </w:rPr>
        <w:t>.</w:t>
      </w:r>
    </w:p>
    <w:p w:rsidR="00044DFF" w:rsidRDefault="00044DFF" w:rsidP="000E4E4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With one of the objectives being the use</w:t>
      </w:r>
      <w:r w:rsidR="000A607A">
        <w:rPr>
          <w:rFonts w:ascii="Times New Roman" w:hAnsi="Times New Roman" w:cs="Times New Roman"/>
          <w:sz w:val="24"/>
          <w:szCs w:val="24"/>
          <w:lang w:val="en-US"/>
        </w:rPr>
        <w:t xml:space="preserve"> of ACQA within self-assessment reports</w:t>
      </w:r>
      <w:r>
        <w:rPr>
          <w:rFonts w:ascii="Times New Roman" w:hAnsi="Times New Roman" w:cs="Times New Roman"/>
          <w:sz w:val="24"/>
          <w:szCs w:val="24"/>
          <w:lang w:val="en-US"/>
        </w:rPr>
        <w:t xml:space="preserve"> and accreditation procedures, the </w:t>
      </w:r>
      <w:r w:rsidR="000A607A">
        <w:rPr>
          <w:rFonts w:ascii="Times New Roman" w:hAnsi="Times New Roman" w:cs="Times New Roman"/>
          <w:sz w:val="24"/>
          <w:szCs w:val="24"/>
          <w:lang w:val="en-US"/>
        </w:rPr>
        <w:t xml:space="preserve">Faculty of Engineering Science at </w:t>
      </w:r>
      <w:r>
        <w:rPr>
          <w:rFonts w:ascii="Times New Roman" w:hAnsi="Times New Roman" w:cs="Times New Roman"/>
          <w:sz w:val="24"/>
          <w:szCs w:val="24"/>
          <w:lang w:val="en-US"/>
        </w:rPr>
        <w:t xml:space="preserve">KU Leuven </w:t>
      </w:r>
      <w:r w:rsidR="001F6484">
        <w:rPr>
          <w:rFonts w:ascii="Times New Roman" w:hAnsi="Times New Roman" w:cs="Times New Roman"/>
          <w:sz w:val="24"/>
          <w:szCs w:val="24"/>
          <w:lang w:val="en-US"/>
        </w:rPr>
        <w:t>generates and evaluates</w:t>
      </w:r>
      <w:r w:rsidR="000A607A">
        <w:rPr>
          <w:rFonts w:ascii="Times New Roman" w:hAnsi="Times New Roman" w:cs="Times New Roman"/>
          <w:sz w:val="24"/>
          <w:szCs w:val="24"/>
          <w:lang w:val="en-US"/>
        </w:rPr>
        <w:t xml:space="preserve"> ACQA based competence profiles for more than three years now</w:t>
      </w:r>
      <w:r>
        <w:rPr>
          <w:rFonts w:ascii="Times New Roman" w:hAnsi="Times New Roman" w:cs="Times New Roman"/>
          <w:sz w:val="24"/>
          <w:szCs w:val="24"/>
          <w:lang w:val="en-US"/>
        </w:rPr>
        <w:t>. Several Bachelor and Master Engineering</w:t>
      </w:r>
      <w:r w:rsidRPr="007B470B">
        <w:rPr>
          <w:rFonts w:ascii="Times New Roman" w:hAnsi="Times New Roman" w:cs="Times New Roman"/>
          <w:sz w:val="24"/>
          <w:szCs w:val="24"/>
          <w:lang w:val="en-GB"/>
        </w:rPr>
        <w:t xml:space="preserve"> Programmes</w:t>
      </w:r>
      <w:r w:rsidR="001F6484">
        <w:rPr>
          <w:rFonts w:ascii="Times New Roman" w:hAnsi="Times New Roman" w:cs="Times New Roman"/>
          <w:sz w:val="24"/>
          <w:szCs w:val="24"/>
          <w:lang w:val="en-US"/>
        </w:rPr>
        <w:t xml:space="preserve"> are</w:t>
      </w:r>
      <w:bookmarkStart w:id="0" w:name="_GoBack"/>
      <w:bookmarkEnd w:id="0"/>
      <w:r>
        <w:rPr>
          <w:rFonts w:ascii="Times New Roman" w:hAnsi="Times New Roman" w:cs="Times New Roman"/>
          <w:sz w:val="24"/>
          <w:szCs w:val="24"/>
          <w:lang w:val="en-US"/>
        </w:rPr>
        <w:t xml:space="preserve"> involved in the study.</w:t>
      </w:r>
    </w:p>
    <w:p w:rsidR="000F5A2F" w:rsidRDefault="00C90287" w:rsidP="000E4E4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A865AF">
        <w:rPr>
          <w:rFonts w:ascii="Times New Roman" w:hAnsi="Times New Roman" w:cs="Times New Roman"/>
          <w:sz w:val="24"/>
          <w:szCs w:val="24"/>
          <w:lang w:val="en-US"/>
        </w:rPr>
        <w:t xml:space="preserve">his paper describes the ACQA </w:t>
      </w:r>
      <w:r>
        <w:rPr>
          <w:rFonts w:ascii="Times New Roman" w:hAnsi="Times New Roman" w:cs="Times New Roman"/>
          <w:sz w:val="24"/>
          <w:szCs w:val="24"/>
          <w:lang w:val="en-US"/>
        </w:rPr>
        <w:t>approach to</w:t>
      </w:r>
      <w:r w:rsidR="000A607A">
        <w:rPr>
          <w:rFonts w:ascii="Times New Roman" w:hAnsi="Times New Roman" w:cs="Times New Roman"/>
          <w:sz w:val="24"/>
          <w:szCs w:val="24"/>
          <w:lang w:val="en-GB"/>
        </w:rPr>
        <w:t xml:space="preserve"> generate</w:t>
      </w:r>
      <w:r>
        <w:rPr>
          <w:rFonts w:ascii="Times New Roman" w:hAnsi="Times New Roman" w:cs="Times New Roman"/>
          <w:sz w:val="24"/>
          <w:szCs w:val="24"/>
          <w:lang w:val="en-US"/>
        </w:rPr>
        <w:t xml:space="preserve"> the competence profile of study</w:t>
      </w:r>
      <w:r w:rsidRPr="007B470B">
        <w:rPr>
          <w:rFonts w:ascii="Times New Roman" w:hAnsi="Times New Roman" w:cs="Times New Roman"/>
          <w:sz w:val="24"/>
          <w:szCs w:val="24"/>
          <w:lang w:val="en-GB"/>
        </w:rPr>
        <w:t xml:space="preserve"> programmes</w:t>
      </w:r>
      <w:r w:rsidR="00CC76B3">
        <w:rPr>
          <w:rFonts w:ascii="Times New Roman" w:hAnsi="Times New Roman" w:cs="Times New Roman"/>
          <w:sz w:val="24"/>
          <w:szCs w:val="24"/>
          <w:lang w:val="en-US"/>
        </w:rPr>
        <w:t>. It introduces</w:t>
      </w:r>
      <w:r>
        <w:rPr>
          <w:rFonts w:ascii="Times New Roman" w:hAnsi="Times New Roman" w:cs="Times New Roman"/>
          <w:sz w:val="24"/>
          <w:szCs w:val="24"/>
          <w:lang w:val="en-US"/>
        </w:rPr>
        <w:t xml:space="preserve"> the methodology</w:t>
      </w:r>
      <w:r w:rsidR="00E97427">
        <w:rPr>
          <w:rFonts w:ascii="Times New Roman" w:hAnsi="Times New Roman" w:cs="Times New Roman"/>
          <w:sz w:val="24"/>
          <w:szCs w:val="24"/>
          <w:lang w:val="en-US"/>
        </w:rPr>
        <w:t xml:space="preserve"> and presents </w:t>
      </w:r>
      <w:r w:rsidR="002B16C2">
        <w:rPr>
          <w:rFonts w:ascii="Times New Roman" w:hAnsi="Times New Roman" w:cs="Times New Roman"/>
          <w:sz w:val="24"/>
          <w:szCs w:val="24"/>
          <w:lang w:val="en-US"/>
        </w:rPr>
        <w:t>some specific</w:t>
      </w:r>
      <w:r w:rsidR="00A865AF">
        <w:rPr>
          <w:rFonts w:ascii="Times New Roman" w:hAnsi="Times New Roman" w:cs="Times New Roman"/>
          <w:sz w:val="24"/>
          <w:szCs w:val="24"/>
          <w:lang w:val="en-US"/>
        </w:rPr>
        <w:t xml:space="preserve"> </w:t>
      </w:r>
      <w:r w:rsidR="002B16C2">
        <w:rPr>
          <w:rFonts w:ascii="Times New Roman" w:hAnsi="Times New Roman" w:cs="Times New Roman"/>
          <w:sz w:val="24"/>
          <w:szCs w:val="24"/>
          <w:lang w:val="en-US"/>
        </w:rPr>
        <w:t xml:space="preserve">results of its’ application </w:t>
      </w:r>
      <w:r w:rsidR="007C52A5">
        <w:rPr>
          <w:rFonts w:ascii="Times New Roman" w:hAnsi="Times New Roman" w:cs="Times New Roman"/>
          <w:sz w:val="24"/>
          <w:szCs w:val="24"/>
          <w:lang w:val="en-US"/>
        </w:rPr>
        <w:t>at the Faculty of E</w:t>
      </w:r>
      <w:r w:rsidR="002B16C2">
        <w:rPr>
          <w:rFonts w:ascii="Times New Roman" w:hAnsi="Times New Roman" w:cs="Times New Roman"/>
          <w:sz w:val="24"/>
          <w:szCs w:val="24"/>
          <w:lang w:val="en-US"/>
        </w:rPr>
        <w:t>ngineering Science at KU Leuven</w:t>
      </w:r>
      <w:r w:rsidR="00A865AF">
        <w:rPr>
          <w:rFonts w:ascii="Times New Roman" w:hAnsi="Times New Roman" w:cs="Times New Roman"/>
          <w:sz w:val="24"/>
          <w:szCs w:val="24"/>
          <w:lang w:val="en-US"/>
        </w:rPr>
        <w:t>.</w:t>
      </w:r>
      <w:r w:rsidR="002B16C2">
        <w:rPr>
          <w:rFonts w:ascii="Times New Roman" w:hAnsi="Times New Roman" w:cs="Times New Roman"/>
          <w:sz w:val="24"/>
          <w:szCs w:val="24"/>
          <w:lang w:val="en-US"/>
        </w:rPr>
        <w:t xml:space="preserve"> Further on, it critically evaluates the use of these results within a self-assessment report and accreditation setting. Finally, it looks ahead and suggestions for further implementation of competence profiles in self-assessment reports are formulated.</w:t>
      </w:r>
    </w:p>
    <w:p w:rsidR="00C74511" w:rsidRPr="007D1E4A" w:rsidRDefault="00C74511" w:rsidP="006F2DAC">
      <w:pPr>
        <w:spacing w:after="0" w:line="240" w:lineRule="auto"/>
        <w:jc w:val="both"/>
        <w:rPr>
          <w:rFonts w:ascii="Times New Roman" w:hAnsi="Times New Roman" w:cs="Times New Roman"/>
          <w:sz w:val="20"/>
          <w:szCs w:val="20"/>
          <w:lang w:val="en-US"/>
        </w:rPr>
      </w:pPr>
    </w:p>
    <w:p w:rsidR="001A1710" w:rsidRPr="00F648E0" w:rsidRDefault="00AD0DBA" w:rsidP="006F2DAC">
      <w:pPr>
        <w:pStyle w:val="ListParagraph"/>
        <w:numPr>
          <w:ilvl w:val="0"/>
          <w:numId w:val="1"/>
        </w:numPr>
        <w:spacing w:after="120" w:line="240" w:lineRule="auto"/>
        <w:ind w:left="357" w:hanging="357"/>
        <w:jc w:val="both"/>
        <w:rPr>
          <w:rFonts w:ascii="Times New Roman" w:hAnsi="Times New Roman" w:cs="Times New Roman"/>
          <w:b/>
          <w:sz w:val="28"/>
          <w:szCs w:val="28"/>
          <w:lang w:val="en-US"/>
        </w:rPr>
      </w:pPr>
      <w:r>
        <w:rPr>
          <w:rFonts w:ascii="Times New Roman" w:hAnsi="Times New Roman" w:cs="Times New Roman"/>
          <w:b/>
          <w:sz w:val="28"/>
          <w:szCs w:val="28"/>
          <w:lang w:val="en-US"/>
        </w:rPr>
        <w:t>T</w:t>
      </w:r>
      <w:r w:rsidR="00F648E0">
        <w:rPr>
          <w:rFonts w:ascii="Times New Roman" w:hAnsi="Times New Roman" w:cs="Times New Roman"/>
          <w:b/>
          <w:sz w:val="28"/>
          <w:szCs w:val="28"/>
          <w:lang w:val="en-US"/>
        </w:rPr>
        <w:t>he ACQA framework</w:t>
      </w:r>
    </w:p>
    <w:p w:rsidR="00C76223" w:rsidRDefault="00C76223" w:rsidP="006F2DA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ACQA framework is twofold: a conceptual framework consisting of seven competence areas and a level-based description of the activities of analysis, synt</w:t>
      </w:r>
      <w:r w:rsidR="007D29F6">
        <w:rPr>
          <w:rFonts w:ascii="Times New Roman" w:hAnsi="Times New Roman" w:cs="Times New Roman"/>
          <w:sz w:val="24"/>
          <w:szCs w:val="24"/>
          <w:lang w:val="en-US"/>
        </w:rPr>
        <w:t>hesis, abstraction and</w:t>
      </w:r>
      <w:r w:rsidR="007D29F6" w:rsidRPr="007B470B">
        <w:rPr>
          <w:rFonts w:ascii="Times New Roman" w:hAnsi="Times New Roman" w:cs="Times New Roman"/>
          <w:sz w:val="24"/>
          <w:szCs w:val="24"/>
          <w:lang w:val="en-GB"/>
        </w:rPr>
        <w:t xml:space="preserve"> concretis</w:t>
      </w:r>
      <w:r w:rsidRPr="007B470B">
        <w:rPr>
          <w:rFonts w:ascii="Times New Roman" w:hAnsi="Times New Roman" w:cs="Times New Roman"/>
          <w:sz w:val="24"/>
          <w:szCs w:val="24"/>
          <w:lang w:val="en-GB"/>
        </w:rPr>
        <w:t>ation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Meijers</w:t>
      </w:r>
      <w:proofErr w:type="spellEnd"/>
      <w:r>
        <w:rPr>
          <w:rFonts w:ascii="Times New Roman" w:hAnsi="Times New Roman" w:cs="Times New Roman"/>
          <w:sz w:val="24"/>
          <w:szCs w:val="24"/>
          <w:lang w:val="en-US"/>
        </w:rPr>
        <w:t xml:space="preserve"> </w:t>
      </w:r>
      <w:r w:rsidRPr="00C76223">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2005; </w:t>
      </w:r>
      <w:proofErr w:type="spellStart"/>
      <w:r>
        <w:rPr>
          <w:rFonts w:ascii="Times New Roman" w:hAnsi="Times New Roman" w:cs="Times New Roman"/>
          <w:sz w:val="24"/>
          <w:szCs w:val="24"/>
          <w:lang w:val="en-US"/>
        </w:rPr>
        <w:t>Meijers</w:t>
      </w:r>
      <w:proofErr w:type="spellEnd"/>
      <w:r>
        <w:rPr>
          <w:rFonts w:ascii="Times New Roman" w:hAnsi="Times New Roman" w:cs="Times New Roman"/>
          <w:sz w:val="24"/>
          <w:szCs w:val="24"/>
          <w:lang w:val="en-US"/>
        </w:rPr>
        <w:t>, 2006).</w:t>
      </w:r>
      <w:r w:rsidR="009876BE">
        <w:rPr>
          <w:rFonts w:ascii="Times New Roman" w:hAnsi="Times New Roman" w:cs="Times New Roman"/>
          <w:sz w:val="24"/>
          <w:szCs w:val="24"/>
          <w:lang w:val="en-US"/>
        </w:rPr>
        <w:t xml:space="preserve"> This paper focuses</w:t>
      </w:r>
      <w:r w:rsidR="001A1710">
        <w:rPr>
          <w:rFonts w:ascii="Times New Roman" w:hAnsi="Times New Roman" w:cs="Times New Roman"/>
          <w:sz w:val="24"/>
          <w:szCs w:val="24"/>
          <w:lang w:val="en-US"/>
        </w:rPr>
        <w:t xml:space="preserve"> on the first part of the framework.</w:t>
      </w:r>
    </w:p>
    <w:p w:rsidR="00F648E0" w:rsidRDefault="00F648E0" w:rsidP="006F2DAC">
      <w:pPr>
        <w:spacing w:after="0" w:line="240" w:lineRule="auto"/>
        <w:ind w:left="360"/>
        <w:jc w:val="both"/>
        <w:rPr>
          <w:rFonts w:ascii="Times New Roman" w:hAnsi="Times New Roman" w:cs="Times New Roman"/>
          <w:sz w:val="24"/>
          <w:szCs w:val="24"/>
          <w:lang w:val="en-US"/>
        </w:rPr>
      </w:pPr>
    </w:p>
    <w:p w:rsidR="00F648E0" w:rsidRDefault="001A1710" w:rsidP="006F2DA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fields</w:t>
      </w:r>
      <w:r w:rsidR="00F648E0">
        <w:rPr>
          <w:rFonts w:ascii="Times New Roman" w:hAnsi="Times New Roman" w:cs="Times New Roman"/>
          <w:sz w:val="24"/>
          <w:szCs w:val="24"/>
          <w:lang w:val="en-US"/>
        </w:rPr>
        <w:t xml:space="preserve"> of competences are defined as following:</w:t>
      </w:r>
    </w:p>
    <w:p w:rsidR="00F648E0" w:rsidRDefault="00F648E0" w:rsidP="006F2DAC">
      <w:pPr>
        <w:pStyle w:val="ListParagraph"/>
        <w:numPr>
          <w:ilvl w:val="0"/>
          <w:numId w:val="3"/>
        </w:numPr>
        <w:spacing w:after="0" w:line="24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Competent in one or more scientific disciplines</w:t>
      </w:r>
    </w:p>
    <w:p w:rsidR="00F648E0" w:rsidRDefault="00F648E0" w:rsidP="006F2DAC">
      <w:pPr>
        <w:pStyle w:val="ListParagraph"/>
        <w:numPr>
          <w:ilvl w:val="0"/>
          <w:numId w:val="3"/>
        </w:numPr>
        <w:spacing w:after="0" w:line="24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Competent in doing research</w:t>
      </w:r>
    </w:p>
    <w:p w:rsidR="00F648E0" w:rsidRDefault="00F648E0" w:rsidP="006F2DAC">
      <w:pPr>
        <w:pStyle w:val="ListParagraph"/>
        <w:numPr>
          <w:ilvl w:val="0"/>
          <w:numId w:val="3"/>
        </w:numPr>
        <w:spacing w:after="0" w:line="24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Competent in designing</w:t>
      </w:r>
    </w:p>
    <w:p w:rsidR="00F648E0" w:rsidRDefault="00F648E0" w:rsidP="006F2DAC">
      <w:pPr>
        <w:pStyle w:val="ListParagraph"/>
        <w:numPr>
          <w:ilvl w:val="0"/>
          <w:numId w:val="3"/>
        </w:numPr>
        <w:spacing w:after="0" w:line="24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A scientific approach</w:t>
      </w:r>
    </w:p>
    <w:p w:rsidR="00F648E0" w:rsidRDefault="00F648E0" w:rsidP="006F2DAC">
      <w:pPr>
        <w:pStyle w:val="ListParagraph"/>
        <w:numPr>
          <w:ilvl w:val="0"/>
          <w:numId w:val="3"/>
        </w:numPr>
        <w:spacing w:after="0" w:line="24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Basic intellectual skills</w:t>
      </w:r>
    </w:p>
    <w:p w:rsidR="00F648E0" w:rsidRDefault="00F648E0" w:rsidP="006F2DAC">
      <w:pPr>
        <w:pStyle w:val="ListParagraph"/>
        <w:numPr>
          <w:ilvl w:val="0"/>
          <w:numId w:val="3"/>
        </w:numPr>
        <w:spacing w:after="0" w:line="24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Competent in co-operating and communicating</w:t>
      </w:r>
    </w:p>
    <w:p w:rsidR="00F648E0" w:rsidRDefault="00F648E0" w:rsidP="006F2DAC">
      <w:pPr>
        <w:pStyle w:val="ListParagraph"/>
        <w:numPr>
          <w:ilvl w:val="0"/>
          <w:numId w:val="3"/>
        </w:numPr>
        <w:spacing w:after="0" w:line="24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Takes account of the temporal and social context</w:t>
      </w:r>
    </w:p>
    <w:p w:rsidR="00895472" w:rsidRDefault="00895472" w:rsidP="00AE5C10">
      <w:pPr>
        <w:spacing w:after="0" w:line="240" w:lineRule="auto"/>
        <w:jc w:val="both"/>
        <w:rPr>
          <w:rFonts w:ascii="Times New Roman" w:hAnsi="Times New Roman" w:cs="Times New Roman"/>
          <w:sz w:val="24"/>
          <w:szCs w:val="24"/>
          <w:lang w:val="en-US"/>
        </w:rPr>
      </w:pPr>
    </w:p>
    <w:p w:rsidR="00975ACA" w:rsidRDefault="00895472" w:rsidP="00E375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E37568" w:rsidRPr="0091323F">
        <w:rPr>
          <w:noProof/>
          <w:sz w:val="18"/>
          <w:szCs w:val="18"/>
          <w:lang w:val="en-US" w:eastAsia="nl-BE"/>
        </w:rPr>
        <w:t xml:space="preserve"> </w:t>
      </w:r>
      <w:r w:rsidR="00E37568">
        <w:rPr>
          <w:noProof/>
          <w:sz w:val="18"/>
          <w:szCs w:val="18"/>
          <w:lang w:eastAsia="nl-BE"/>
        </w:rPr>
        <w:drawing>
          <wp:inline distT="0" distB="0" distL="0" distR="0" wp14:anchorId="563E2B9E" wp14:editId="2A1C42F0">
            <wp:extent cx="5338314"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0">
                      <a:extLst>
                        <a:ext uri="{28A0092B-C50C-407E-A947-70E740481C1C}">
                          <a14:useLocalDpi xmlns:a14="http://schemas.microsoft.com/office/drawing/2010/main" val="0"/>
                        </a:ext>
                      </a:extLst>
                    </a:blip>
                    <a:srcRect t="-322" b="-214"/>
                    <a:stretch>
                      <a:fillRect/>
                    </a:stretch>
                  </pic:blipFill>
                  <pic:spPr bwMode="auto">
                    <a:xfrm>
                      <a:off x="0" y="0"/>
                      <a:ext cx="5345742" cy="3033165"/>
                    </a:xfrm>
                    <a:prstGeom prst="rect">
                      <a:avLst/>
                    </a:prstGeom>
                    <a:noFill/>
                    <a:ln>
                      <a:noFill/>
                    </a:ln>
                  </pic:spPr>
                </pic:pic>
              </a:graphicData>
            </a:graphic>
          </wp:inline>
        </w:drawing>
      </w:r>
    </w:p>
    <w:p w:rsidR="00975ACA" w:rsidRDefault="00975ACA" w:rsidP="006F2DAC">
      <w:pPr>
        <w:spacing w:after="0" w:line="240" w:lineRule="auto"/>
        <w:ind w:left="360"/>
        <w:jc w:val="both"/>
        <w:rPr>
          <w:rFonts w:ascii="Times New Roman" w:hAnsi="Times New Roman" w:cs="Times New Roman"/>
          <w:sz w:val="24"/>
          <w:szCs w:val="24"/>
          <w:lang w:val="en-US"/>
        </w:rPr>
      </w:pPr>
    </w:p>
    <w:p w:rsidR="00975ACA" w:rsidRDefault="00975ACA" w:rsidP="006F2DAC">
      <w:pPr>
        <w:spacing w:after="0" w:line="240" w:lineRule="auto"/>
        <w:ind w:left="360"/>
        <w:jc w:val="both"/>
        <w:rPr>
          <w:rFonts w:ascii="Times New Roman" w:hAnsi="Times New Roman" w:cs="Times New Roman"/>
          <w:sz w:val="24"/>
          <w:szCs w:val="24"/>
          <w:lang w:val="en-US"/>
        </w:rPr>
      </w:pPr>
    </w:p>
    <w:p w:rsidR="00975ACA" w:rsidRPr="00975ACA" w:rsidRDefault="00975ACA" w:rsidP="006F2DAC">
      <w:pPr>
        <w:spacing w:after="0" w:line="24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Figure 1. The areas of competence according to </w:t>
      </w:r>
      <w:proofErr w:type="spellStart"/>
      <w:r w:rsidR="004A335E">
        <w:rPr>
          <w:rFonts w:ascii="Times New Roman" w:hAnsi="Times New Roman" w:cs="Times New Roman"/>
          <w:b/>
          <w:sz w:val="24"/>
          <w:szCs w:val="24"/>
          <w:lang w:val="en-US"/>
        </w:rPr>
        <w:t>Meijers</w:t>
      </w:r>
      <w:proofErr w:type="spellEnd"/>
      <w:r w:rsidR="004A335E">
        <w:rPr>
          <w:rFonts w:ascii="Times New Roman" w:hAnsi="Times New Roman" w:cs="Times New Roman"/>
          <w:b/>
          <w:sz w:val="24"/>
          <w:szCs w:val="24"/>
          <w:lang w:val="en-US"/>
        </w:rPr>
        <w:t xml:space="preserve"> </w:t>
      </w:r>
      <w:r w:rsidR="004A335E" w:rsidRPr="004A335E">
        <w:rPr>
          <w:rFonts w:ascii="Times New Roman" w:hAnsi="Times New Roman" w:cs="Times New Roman"/>
          <w:b/>
          <w:i/>
          <w:sz w:val="24"/>
          <w:szCs w:val="24"/>
          <w:lang w:val="en-US"/>
        </w:rPr>
        <w:t>et al</w:t>
      </w:r>
      <w:r w:rsidR="004A335E">
        <w:rPr>
          <w:rFonts w:ascii="Times New Roman" w:hAnsi="Times New Roman" w:cs="Times New Roman"/>
          <w:b/>
          <w:sz w:val="24"/>
          <w:szCs w:val="24"/>
          <w:lang w:val="en-US"/>
        </w:rPr>
        <w:t>. (2005).</w:t>
      </w:r>
    </w:p>
    <w:p w:rsidR="00F648E0" w:rsidRPr="00F648E0" w:rsidRDefault="00F648E0" w:rsidP="006F2DAC">
      <w:pPr>
        <w:spacing w:after="0" w:line="240" w:lineRule="auto"/>
        <w:jc w:val="both"/>
        <w:rPr>
          <w:rFonts w:ascii="Times New Roman" w:hAnsi="Times New Roman" w:cs="Times New Roman"/>
          <w:sz w:val="24"/>
          <w:szCs w:val="24"/>
          <w:lang w:val="en-US"/>
        </w:rPr>
      </w:pPr>
    </w:p>
    <w:p w:rsidR="00E37568" w:rsidRDefault="00E37568" w:rsidP="00AE5C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There are relations between the areas of competences mentioned above. They concern the domain of the university graduate, the academic method of thinking and doing and the context of practical science. Figure 1 gives a graphical representation of the areas of competence</w:t>
      </w:r>
      <w:r w:rsidR="0091323F">
        <w:rPr>
          <w:rFonts w:ascii="Times New Roman" w:hAnsi="Times New Roman" w:cs="Times New Roman"/>
          <w:sz w:val="24"/>
          <w:szCs w:val="24"/>
          <w:lang w:val="en-US"/>
        </w:rPr>
        <w:t>.</w:t>
      </w:r>
    </w:p>
    <w:p w:rsidR="00F648E0" w:rsidRDefault="004A335E" w:rsidP="00AE5C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each of these competence areas five to eight competences have been defined, with a distinction between the bachelor and master versions of these competences.</w:t>
      </w:r>
    </w:p>
    <w:p w:rsidR="009C5C73" w:rsidRPr="009C5C73" w:rsidRDefault="009C5C73" w:rsidP="009C5C73">
      <w:pPr>
        <w:spacing w:after="0" w:line="240" w:lineRule="auto"/>
        <w:jc w:val="both"/>
        <w:rPr>
          <w:rFonts w:ascii="Times New Roman" w:hAnsi="Times New Roman" w:cs="Times New Roman"/>
          <w:b/>
          <w:sz w:val="24"/>
          <w:szCs w:val="24"/>
          <w:lang w:val="en-US"/>
        </w:rPr>
      </w:pPr>
    </w:p>
    <w:p w:rsidR="006F2DAC" w:rsidRPr="00C76223" w:rsidRDefault="006F2DAC" w:rsidP="006F2DAC">
      <w:pPr>
        <w:spacing w:after="0" w:line="240" w:lineRule="auto"/>
        <w:ind w:left="360"/>
        <w:jc w:val="both"/>
        <w:rPr>
          <w:rFonts w:ascii="Times New Roman" w:hAnsi="Times New Roman" w:cs="Times New Roman"/>
          <w:sz w:val="24"/>
          <w:szCs w:val="24"/>
          <w:lang w:val="en-US"/>
        </w:rPr>
      </w:pPr>
    </w:p>
    <w:p w:rsidR="00F648E0" w:rsidRDefault="00A865AF" w:rsidP="00AE5C10">
      <w:pPr>
        <w:pStyle w:val="ListParagraph"/>
        <w:numPr>
          <w:ilvl w:val="0"/>
          <w:numId w:val="1"/>
        </w:numPr>
        <w:spacing w:after="120" w:line="240" w:lineRule="auto"/>
        <w:ind w:left="357" w:hanging="357"/>
        <w:jc w:val="both"/>
        <w:rPr>
          <w:rFonts w:ascii="Times New Roman" w:hAnsi="Times New Roman" w:cs="Times New Roman"/>
          <w:b/>
          <w:sz w:val="28"/>
          <w:szCs w:val="28"/>
          <w:lang w:val="en-US"/>
        </w:rPr>
      </w:pPr>
      <w:r>
        <w:rPr>
          <w:rFonts w:ascii="Times New Roman" w:hAnsi="Times New Roman" w:cs="Times New Roman"/>
          <w:b/>
          <w:sz w:val="28"/>
          <w:szCs w:val="28"/>
          <w:lang w:val="en-US"/>
        </w:rPr>
        <w:t>Evaluating learning outcomes</w:t>
      </w:r>
      <w:r w:rsidR="00482744">
        <w:rPr>
          <w:rFonts w:ascii="Times New Roman" w:hAnsi="Times New Roman" w:cs="Times New Roman"/>
          <w:b/>
          <w:sz w:val="28"/>
          <w:szCs w:val="28"/>
          <w:lang w:val="en-US"/>
        </w:rPr>
        <w:t xml:space="preserve"> </w:t>
      </w:r>
      <w:r w:rsidR="009C5C73">
        <w:rPr>
          <w:rFonts w:ascii="Times New Roman" w:hAnsi="Times New Roman" w:cs="Times New Roman"/>
          <w:b/>
          <w:sz w:val="28"/>
          <w:szCs w:val="28"/>
          <w:lang w:val="en-US"/>
        </w:rPr>
        <w:t>based on ACQA</w:t>
      </w:r>
      <w:r w:rsidR="00AD0DBA">
        <w:rPr>
          <w:rFonts w:ascii="Times New Roman" w:hAnsi="Times New Roman" w:cs="Times New Roman"/>
          <w:b/>
          <w:sz w:val="28"/>
          <w:szCs w:val="28"/>
          <w:lang w:val="en-US"/>
        </w:rPr>
        <w:t xml:space="preserve"> </w:t>
      </w:r>
    </w:p>
    <w:p w:rsidR="009C5C73" w:rsidRDefault="00482744" w:rsidP="009C5C73">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evaluating </w:t>
      </w:r>
      <w:r w:rsidR="00A865AF">
        <w:rPr>
          <w:rFonts w:ascii="Times New Roman" w:hAnsi="Times New Roman" w:cs="Times New Roman"/>
          <w:sz w:val="24"/>
          <w:szCs w:val="24"/>
          <w:lang w:val="en-US"/>
        </w:rPr>
        <w:t xml:space="preserve">the learning outcomes of </w:t>
      </w:r>
      <w:r>
        <w:rPr>
          <w:rFonts w:ascii="Times New Roman" w:hAnsi="Times New Roman" w:cs="Times New Roman"/>
          <w:sz w:val="24"/>
          <w:szCs w:val="24"/>
          <w:lang w:val="en-US"/>
        </w:rPr>
        <w:t>a study</w:t>
      </w:r>
      <w:r w:rsidRPr="007B470B">
        <w:rPr>
          <w:rFonts w:ascii="Times New Roman" w:hAnsi="Times New Roman" w:cs="Times New Roman"/>
          <w:sz w:val="24"/>
          <w:szCs w:val="24"/>
          <w:lang w:val="en-GB"/>
        </w:rPr>
        <w:t xml:space="preserve"> programme</w:t>
      </w:r>
      <w:r>
        <w:rPr>
          <w:rFonts w:ascii="Times New Roman" w:hAnsi="Times New Roman" w:cs="Times New Roman"/>
          <w:sz w:val="24"/>
          <w:szCs w:val="24"/>
          <w:lang w:val="en-US"/>
        </w:rPr>
        <w:t xml:space="preserve">, different study </w:t>
      </w:r>
      <w:proofErr w:type="spellStart"/>
      <w:r>
        <w:rPr>
          <w:rFonts w:ascii="Times New Roman" w:hAnsi="Times New Roman" w:cs="Times New Roman"/>
          <w:sz w:val="24"/>
          <w:szCs w:val="24"/>
          <w:lang w:val="en-US"/>
        </w:rPr>
        <w:t>programmes</w:t>
      </w:r>
      <w:proofErr w:type="spellEnd"/>
      <w:r>
        <w:rPr>
          <w:rFonts w:ascii="Times New Roman" w:hAnsi="Times New Roman" w:cs="Times New Roman"/>
          <w:sz w:val="24"/>
          <w:szCs w:val="24"/>
          <w:lang w:val="en-US"/>
        </w:rPr>
        <w:t xml:space="preserve"> can be defined, e.g. the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as intended by the educational committee, the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as intended by the le</w:t>
      </w:r>
      <w:r w:rsidR="001329A7">
        <w:rPr>
          <w:rFonts w:ascii="Times New Roman" w:hAnsi="Times New Roman" w:cs="Times New Roman"/>
          <w:sz w:val="24"/>
          <w:szCs w:val="24"/>
          <w:lang w:val="en-US"/>
        </w:rPr>
        <w:t xml:space="preserve">cturers, the </w:t>
      </w:r>
      <w:proofErr w:type="spellStart"/>
      <w:r w:rsidR="001329A7">
        <w:rPr>
          <w:rFonts w:ascii="Times New Roman" w:hAnsi="Times New Roman" w:cs="Times New Roman"/>
          <w:sz w:val="24"/>
          <w:szCs w:val="24"/>
          <w:lang w:val="en-US"/>
        </w:rPr>
        <w:t>programme</w:t>
      </w:r>
      <w:proofErr w:type="spellEnd"/>
      <w:r w:rsidR="001329A7">
        <w:rPr>
          <w:rFonts w:ascii="Times New Roman" w:hAnsi="Times New Roman" w:cs="Times New Roman"/>
          <w:sz w:val="24"/>
          <w:szCs w:val="24"/>
          <w:lang w:val="en-US"/>
        </w:rPr>
        <w:t xml:space="preserve"> as</w:t>
      </w:r>
      <w:r w:rsidR="001329A7" w:rsidRPr="007B470B">
        <w:rPr>
          <w:rFonts w:ascii="Times New Roman" w:hAnsi="Times New Roman" w:cs="Times New Roman"/>
          <w:sz w:val="24"/>
          <w:szCs w:val="24"/>
          <w:lang w:val="en-GB"/>
        </w:rPr>
        <w:t xml:space="preserve"> realis</w:t>
      </w:r>
      <w:r w:rsidRPr="007B470B">
        <w:rPr>
          <w:rFonts w:ascii="Times New Roman" w:hAnsi="Times New Roman" w:cs="Times New Roman"/>
          <w:sz w:val="24"/>
          <w:szCs w:val="24"/>
          <w:lang w:val="en-GB"/>
        </w:rPr>
        <w:t>ed</w:t>
      </w:r>
      <w:r>
        <w:rPr>
          <w:rFonts w:ascii="Times New Roman" w:hAnsi="Times New Roman" w:cs="Times New Roman"/>
          <w:sz w:val="24"/>
          <w:szCs w:val="24"/>
          <w:lang w:val="en-US"/>
        </w:rPr>
        <w:t xml:space="preserve"> in the learning situation and the</w:t>
      </w:r>
      <w:r w:rsidRPr="007B470B">
        <w:rPr>
          <w:rFonts w:ascii="Times New Roman" w:hAnsi="Times New Roman" w:cs="Times New Roman"/>
          <w:sz w:val="24"/>
          <w:szCs w:val="24"/>
          <w:lang w:val="en-GB"/>
        </w:rPr>
        <w:t xml:space="preserve"> programme</w:t>
      </w:r>
      <w:r>
        <w:rPr>
          <w:rFonts w:ascii="Times New Roman" w:hAnsi="Times New Roman" w:cs="Times New Roman"/>
          <w:sz w:val="24"/>
          <w:szCs w:val="24"/>
          <w:lang w:val="en-US"/>
        </w:rPr>
        <w:t xml:space="preserve"> as the competences obtained by the students (</w:t>
      </w:r>
      <w:proofErr w:type="spellStart"/>
      <w:r>
        <w:rPr>
          <w:rFonts w:ascii="Times New Roman" w:hAnsi="Times New Roman" w:cs="Times New Roman"/>
          <w:sz w:val="24"/>
          <w:szCs w:val="24"/>
          <w:lang w:val="en-US"/>
        </w:rPr>
        <w:t>Meijers</w:t>
      </w:r>
      <w:proofErr w:type="spellEnd"/>
      <w:r>
        <w:rPr>
          <w:rFonts w:ascii="Times New Roman" w:hAnsi="Times New Roman" w:cs="Times New Roman"/>
          <w:sz w:val="24"/>
          <w:szCs w:val="24"/>
          <w:lang w:val="en-US"/>
        </w:rPr>
        <w:t>, 2006). This paper is built around the definition based on the lecturer’</w:t>
      </w:r>
      <w:r w:rsidR="001C7E1B">
        <w:rPr>
          <w:rFonts w:ascii="Times New Roman" w:hAnsi="Times New Roman" w:cs="Times New Roman"/>
          <w:sz w:val="24"/>
          <w:szCs w:val="24"/>
          <w:lang w:val="en-US"/>
        </w:rPr>
        <w:t>s intentions which are collected with interviews.</w:t>
      </w:r>
    </w:p>
    <w:p w:rsidR="001C7E1B" w:rsidRDefault="001C7E1B" w:rsidP="009C5C73">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Evaluating a study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all compulsory and relevant optional courses are individually </w:t>
      </w:r>
      <w:r w:rsidR="007B470B">
        <w:rPr>
          <w:rFonts w:ascii="Times New Roman" w:hAnsi="Times New Roman" w:cs="Times New Roman"/>
          <w:sz w:val="24"/>
          <w:szCs w:val="24"/>
          <w:lang w:val="en-US"/>
        </w:rPr>
        <w:t>discussed with</w:t>
      </w:r>
      <w:r>
        <w:rPr>
          <w:rFonts w:ascii="Times New Roman" w:hAnsi="Times New Roman" w:cs="Times New Roman"/>
          <w:sz w:val="24"/>
          <w:szCs w:val="24"/>
          <w:lang w:val="en-US"/>
        </w:rPr>
        <w:t xml:space="preserve"> the responsible lecturers. In the interview, they are asked to specify those competence </w:t>
      </w:r>
      <w:r w:rsidR="007B470B">
        <w:rPr>
          <w:rFonts w:ascii="Times New Roman" w:hAnsi="Times New Roman" w:cs="Times New Roman"/>
          <w:sz w:val="24"/>
          <w:szCs w:val="24"/>
          <w:lang w:val="en-US"/>
        </w:rPr>
        <w:t>areas</w:t>
      </w:r>
      <w:r>
        <w:rPr>
          <w:rFonts w:ascii="Times New Roman" w:hAnsi="Times New Roman" w:cs="Times New Roman"/>
          <w:sz w:val="24"/>
          <w:szCs w:val="24"/>
          <w:lang w:val="en-US"/>
        </w:rPr>
        <w:t xml:space="preserve"> </w:t>
      </w:r>
      <w:r w:rsidR="00DF48EB">
        <w:rPr>
          <w:rFonts w:ascii="Times New Roman" w:hAnsi="Times New Roman" w:cs="Times New Roman"/>
          <w:sz w:val="24"/>
          <w:szCs w:val="24"/>
          <w:lang w:val="en-US"/>
        </w:rPr>
        <w:t xml:space="preserve">to which they seek to contribute substantially by means of the course and whether these competence areas are part of </w:t>
      </w:r>
      <w:r w:rsidR="0051136B">
        <w:rPr>
          <w:rFonts w:ascii="Times New Roman" w:hAnsi="Times New Roman" w:cs="Times New Roman"/>
          <w:sz w:val="24"/>
          <w:szCs w:val="24"/>
          <w:lang w:val="en-US"/>
        </w:rPr>
        <w:t>the examination. Next, they are</w:t>
      </w:r>
      <w:r w:rsidR="00DF48EB">
        <w:rPr>
          <w:rFonts w:ascii="Times New Roman" w:hAnsi="Times New Roman" w:cs="Times New Roman"/>
          <w:sz w:val="24"/>
          <w:szCs w:val="24"/>
          <w:lang w:val="en-US"/>
        </w:rPr>
        <w:t xml:space="preserve"> asked how they intend to divide the study load in their cou</w:t>
      </w:r>
      <w:r w:rsidR="00B81339">
        <w:rPr>
          <w:rFonts w:ascii="Times New Roman" w:hAnsi="Times New Roman" w:cs="Times New Roman"/>
          <w:sz w:val="24"/>
          <w:szCs w:val="24"/>
          <w:lang w:val="en-US"/>
        </w:rPr>
        <w:t>r</w:t>
      </w:r>
      <w:r w:rsidR="00DF48EB">
        <w:rPr>
          <w:rFonts w:ascii="Times New Roman" w:hAnsi="Times New Roman" w:cs="Times New Roman"/>
          <w:sz w:val="24"/>
          <w:szCs w:val="24"/>
          <w:lang w:val="en-US"/>
        </w:rPr>
        <w:t>se over the areas selecte</w:t>
      </w:r>
      <w:r w:rsidR="00BA40FA">
        <w:rPr>
          <w:rFonts w:ascii="Times New Roman" w:hAnsi="Times New Roman" w:cs="Times New Roman"/>
          <w:sz w:val="24"/>
          <w:szCs w:val="24"/>
          <w:lang w:val="en-US"/>
        </w:rPr>
        <w:t>d. The intended distribution has</w:t>
      </w:r>
      <w:r w:rsidR="00DF48EB">
        <w:rPr>
          <w:rFonts w:ascii="Times New Roman" w:hAnsi="Times New Roman" w:cs="Times New Roman"/>
          <w:sz w:val="24"/>
          <w:szCs w:val="24"/>
          <w:lang w:val="en-US"/>
        </w:rPr>
        <w:t xml:space="preserve"> to be indicated in percentages</w:t>
      </w:r>
      <w:r w:rsidR="00B81339">
        <w:rPr>
          <w:rFonts w:ascii="Times New Roman" w:hAnsi="Times New Roman" w:cs="Times New Roman"/>
          <w:sz w:val="24"/>
          <w:szCs w:val="24"/>
          <w:lang w:val="en-US"/>
        </w:rPr>
        <w:t xml:space="preserve">, with a total of 100. For the key competences in these </w:t>
      </w:r>
      <w:r w:rsidR="00BA40FA">
        <w:rPr>
          <w:rFonts w:ascii="Times New Roman" w:hAnsi="Times New Roman" w:cs="Times New Roman"/>
          <w:sz w:val="24"/>
          <w:szCs w:val="24"/>
          <w:lang w:val="en-US"/>
        </w:rPr>
        <w:t>areas a yes/no indication needs</w:t>
      </w:r>
      <w:r w:rsidR="00B81339">
        <w:rPr>
          <w:rFonts w:ascii="Times New Roman" w:hAnsi="Times New Roman" w:cs="Times New Roman"/>
          <w:sz w:val="24"/>
          <w:szCs w:val="24"/>
          <w:lang w:val="en-US"/>
        </w:rPr>
        <w:t xml:space="preserve"> to be given.</w:t>
      </w:r>
    </w:p>
    <w:p w:rsidR="00BE531F" w:rsidRDefault="00BE531F" w:rsidP="009C5C73">
      <w:pPr>
        <w:spacing w:after="120" w:line="240" w:lineRule="auto"/>
        <w:jc w:val="both"/>
        <w:rPr>
          <w:rFonts w:ascii="Times New Roman" w:hAnsi="Times New Roman" w:cs="Times New Roman"/>
          <w:sz w:val="24"/>
          <w:szCs w:val="24"/>
          <w:lang w:val="en-US"/>
        </w:rPr>
      </w:pPr>
    </w:p>
    <w:p w:rsidR="00BE531F" w:rsidRDefault="0052247D" w:rsidP="009C5C73">
      <w:pPr>
        <w:spacing w:after="120" w:line="240" w:lineRule="auto"/>
        <w:jc w:val="both"/>
        <w:rPr>
          <w:rFonts w:ascii="Times New Roman" w:hAnsi="Times New Roman" w:cs="Times New Roman"/>
          <w:sz w:val="24"/>
          <w:szCs w:val="24"/>
          <w:lang w:val="en-US"/>
        </w:rPr>
      </w:pPr>
      <w:r>
        <w:rPr>
          <w:noProof/>
          <w:lang w:eastAsia="nl-BE"/>
        </w:rPr>
        <w:drawing>
          <wp:inline distT="0" distB="0" distL="0" distR="0" wp14:anchorId="3BB85B56" wp14:editId="2A94B7DA">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531F" w:rsidRPr="0002702F" w:rsidRDefault="00BE531F" w:rsidP="0002702F">
      <w:pPr>
        <w:spacing w:after="120" w:line="240" w:lineRule="auto"/>
        <w:jc w:val="center"/>
        <w:rPr>
          <w:rFonts w:ascii="Times New Roman" w:hAnsi="Times New Roman" w:cs="Times New Roman"/>
          <w:b/>
          <w:sz w:val="24"/>
          <w:szCs w:val="24"/>
          <w:lang w:val="en-US"/>
        </w:rPr>
      </w:pPr>
      <w:r w:rsidRPr="0002702F">
        <w:rPr>
          <w:rFonts w:ascii="Times New Roman" w:hAnsi="Times New Roman" w:cs="Times New Roman"/>
          <w:b/>
          <w:sz w:val="24"/>
          <w:szCs w:val="24"/>
          <w:lang w:val="en-US"/>
        </w:rPr>
        <w:t>Figure 2.</w:t>
      </w:r>
      <w:r w:rsidR="0002702F">
        <w:rPr>
          <w:rFonts w:ascii="Times New Roman" w:hAnsi="Times New Roman" w:cs="Times New Roman"/>
          <w:b/>
          <w:sz w:val="24"/>
          <w:szCs w:val="24"/>
          <w:lang w:val="en-US"/>
        </w:rPr>
        <w:t xml:space="preserve"> Competence profile of a master engineering </w:t>
      </w:r>
      <w:proofErr w:type="spellStart"/>
      <w:r w:rsidR="0002702F">
        <w:rPr>
          <w:rFonts w:ascii="Times New Roman" w:hAnsi="Times New Roman" w:cs="Times New Roman"/>
          <w:b/>
          <w:sz w:val="24"/>
          <w:szCs w:val="24"/>
          <w:lang w:val="en-US"/>
        </w:rPr>
        <w:t>programme</w:t>
      </w:r>
      <w:proofErr w:type="spellEnd"/>
      <w:r w:rsidR="0002702F">
        <w:rPr>
          <w:rFonts w:ascii="Times New Roman" w:hAnsi="Times New Roman" w:cs="Times New Roman"/>
          <w:b/>
          <w:sz w:val="24"/>
          <w:szCs w:val="24"/>
          <w:lang w:val="en-US"/>
        </w:rPr>
        <w:t xml:space="preserve"> at the Faculty of Engineering Science, KU Leuven. 1=competent in a discipline; 2=competent in research</w:t>
      </w:r>
      <w:r w:rsidR="00BD0550">
        <w:rPr>
          <w:rFonts w:ascii="Times New Roman" w:hAnsi="Times New Roman" w:cs="Times New Roman"/>
          <w:b/>
          <w:sz w:val="24"/>
          <w:szCs w:val="24"/>
          <w:lang w:val="en-US"/>
        </w:rPr>
        <w:t>; 3=competent in designing; 4=a scientific approach; 5=basic intellectual skills; 6=competent in co-operating and communicating; 7=takes account of the temporal and social context. Radial axis=percentage of time.</w:t>
      </w:r>
    </w:p>
    <w:p w:rsidR="00E37568" w:rsidRDefault="00E37568" w:rsidP="00E37568">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these data, competence profiles can be constructed. The software used allows the</w:t>
      </w:r>
      <w:r w:rsidRPr="007B470B">
        <w:rPr>
          <w:rFonts w:ascii="Times New Roman" w:hAnsi="Times New Roman" w:cs="Times New Roman"/>
          <w:sz w:val="24"/>
          <w:szCs w:val="24"/>
          <w:lang w:val="en-GB"/>
        </w:rPr>
        <w:t xml:space="preserve"> visualisation</w:t>
      </w:r>
      <w:r>
        <w:rPr>
          <w:rFonts w:ascii="Times New Roman" w:hAnsi="Times New Roman" w:cs="Times New Roman"/>
          <w:sz w:val="24"/>
          <w:szCs w:val="24"/>
          <w:lang w:val="en-US"/>
        </w:rPr>
        <w:t xml:space="preserve"> of any profile wanted, e.g. individual course, a particular track of the</w:t>
      </w:r>
      <w:r w:rsidRPr="007B470B">
        <w:rPr>
          <w:rFonts w:ascii="Times New Roman" w:hAnsi="Times New Roman" w:cs="Times New Roman"/>
          <w:sz w:val="24"/>
          <w:szCs w:val="24"/>
          <w:lang w:val="en-GB"/>
        </w:rPr>
        <w:t xml:space="preserve"> programme</w:t>
      </w:r>
      <w:r>
        <w:rPr>
          <w:rFonts w:ascii="Times New Roman" w:hAnsi="Times New Roman" w:cs="Times New Roman"/>
          <w:sz w:val="24"/>
          <w:szCs w:val="24"/>
          <w:lang w:val="en-US"/>
        </w:rPr>
        <w:t xml:space="preserve"> or the</w:t>
      </w:r>
      <w:r w:rsidRPr="007B470B">
        <w:rPr>
          <w:rFonts w:ascii="Times New Roman" w:hAnsi="Times New Roman" w:cs="Times New Roman"/>
          <w:sz w:val="24"/>
          <w:szCs w:val="24"/>
          <w:lang w:val="en-GB"/>
        </w:rPr>
        <w:t xml:space="preserve"> programme</w:t>
      </w:r>
      <w:r>
        <w:rPr>
          <w:rFonts w:ascii="Times New Roman" w:hAnsi="Times New Roman" w:cs="Times New Roman"/>
          <w:sz w:val="24"/>
          <w:szCs w:val="24"/>
          <w:lang w:val="en-US"/>
        </w:rPr>
        <w:t xml:space="preserve"> as a whole. Constructing a profile, data per course </w:t>
      </w:r>
      <w:r>
        <w:rPr>
          <w:rFonts w:ascii="Times New Roman" w:hAnsi="Times New Roman" w:cs="Times New Roman"/>
          <w:sz w:val="24"/>
          <w:szCs w:val="24"/>
          <w:lang w:val="en-US"/>
        </w:rPr>
        <w:lastRenderedPageBreak/>
        <w:t>involved are aggregated as a weighted average. An example of a profile of a master engineering</w:t>
      </w:r>
      <w:r w:rsidRPr="007B470B">
        <w:rPr>
          <w:rFonts w:ascii="Times New Roman" w:hAnsi="Times New Roman" w:cs="Times New Roman"/>
          <w:sz w:val="24"/>
          <w:szCs w:val="24"/>
          <w:lang w:val="en-GB"/>
        </w:rPr>
        <w:t xml:space="preserve"> programme</w:t>
      </w:r>
      <w:r>
        <w:rPr>
          <w:rFonts w:ascii="Times New Roman" w:hAnsi="Times New Roman" w:cs="Times New Roman"/>
          <w:sz w:val="24"/>
          <w:szCs w:val="24"/>
          <w:lang w:val="en-US"/>
        </w:rPr>
        <w:t xml:space="preserve"> at the Faculty of Engineering Science, KU Leuven is given in Figure 2. By showing the distribution of time as a shape, it is possible to see at a glance how the focus of the</w:t>
      </w:r>
      <w:r w:rsidRPr="007B470B">
        <w:rPr>
          <w:rFonts w:ascii="Times New Roman" w:hAnsi="Times New Roman" w:cs="Times New Roman"/>
          <w:sz w:val="24"/>
          <w:szCs w:val="24"/>
          <w:lang w:val="en-GB"/>
        </w:rPr>
        <w:t xml:space="preserve"> programme</w:t>
      </w:r>
      <w:r>
        <w:rPr>
          <w:rFonts w:ascii="Times New Roman" w:hAnsi="Times New Roman" w:cs="Times New Roman"/>
          <w:sz w:val="24"/>
          <w:szCs w:val="24"/>
          <w:lang w:val="en-US"/>
        </w:rPr>
        <w:t xml:space="preserve"> is divided over the seven areas of competence.</w:t>
      </w:r>
    </w:p>
    <w:p w:rsidR="00482744" w:rsidRPr="009C5C73" w:rsidRDefault="00482744" w:rsidP="009C5C73">
      <w:pPr>
        <w:spacing w:after="120" w:line="240" w:lineRule="auto"/>
        <w:jc w:val="both"/>
        <w:rPr>
          <w:rFonts w:ascii="Times New Roman" w:hAnsi="Times New Roman" w:cs="Times New Roman"/>
          <w:b/>
          <w:sz w:val="28"/>
          <w:szCs w:val="28"/>
          <w:lang w:val="en-US"/>
        </w:rPr>
      </w:pPr>
    </w:p>
    <w:p w:rsidR="009C5C73" w:rsidRDefault="00BA0DBC" w:rsidP="009C5C73">
      <w:pPr>
        <w:pStyle w:val="ListParagraph"/>
        <w:numPr>
          <w:ilvl w:val="0"/>
          <w:numId w:val="1"/>
        </w:numPr>
        <w:spacing w:after="120" w:line="240" w:lineRule="auto"/>
        <w:ind w:left="357" w:hanging="357"/>
        <w:jc w:val="both"/>
        <w:rPr>
          <w:rFonts w:ascii="Times New Roman" w:hAnsi="Times New Roman" w:cs="Times New Roman"/>
          <w:b/>
          <w:sz w:val="28"/>
          <w:szCs w:val="28"/>
          <w:lang w:val="en-US"/>
        </w:rPr>
      </w:pPr>
      <w:r>
        <w:rPr>
          <w:rFonts w:ascii="Times New Roman" w:hAnsi="Times New Roman" w:cs="Times New Roman"/>
          <w:b/>
          <w:sz w:val="28"/>
          <w:szCs w:val="28"/>
          <w:lang w:val="en-US"/>
        </w:rPr>
        <w:t>ACQA</w:t>
      </w:r>
      <w:r w:rsidR="001B5998">
        <w:rPr>
          <w:rFonts w:ascii="Times New Roman" w:hAnsi="Times New Roman" w:cs="Times New Roman"/>
          <w:b/>
          <w:sz w:val="28"/>
          <w:szCs w:val="28"/>
          <w:lang w:val="en-US"/>
        </w:rPr>
        <w:t xml:space="preserve"> versus self-assessment report</w:t>
      </w:r>
      <w:r>
        <w:rPr>
          <w:rFonts w:ascii="Times New Roman" w:hAnsi="Times New Roman" w:cs="Times New Roman"/>
          <w:b/>
          <w:sz w:val="28"/>
          <w:szCs w:val="28"/>
          <w:lang w:val="en-US"/>
        </w:rPr>
        <w:t xml:space="preserve"> and accreditation setting</w:t>
      </w:r>
    </w:p>
    <w:p w:rsidR="00BA0DBC" w:rsidRDefault="00BA0DBC" w:rsidP="00BD0A1D">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Within the context of self-asses</w:t>
      </w:r>
      <w:r w:rsidR="0051136B">
        <w:rPr>
          <w:rFonts w:ascii="Times New Roman" w:hAnsi="Times New Roman" w:cs="Times New Roman"/>
          <w:sz w:val="24"/>
          <w:szCs w:val="24"/>
          <w:lang w:val="en-US"/>
        </w:rPr>
        <w:t xml:space="preserve">sment reports and accreditation </w:t>
      </w:r>
      <w:r>
        <w:rPr>
          <w:rFonts w:ascii="Times New Roman" w:hAnsi="Times New Roman" w:cs="Times New Roman"/>
          <w:sz w:val="24"/>
          <w:szCs w:val="24"/>
          <w:lang w:val="en-US"/>
        </w:rPr>
        <w:t xml:space="preserve">visits, the ACQA framework and the resulting competence profiles can be in great </w:t>
      </w:r>
      <w:proofErr w:type="spellStart"/>
      <w:r>
        <w:rPr>
          <w:rFonts w:ascii="Times New Roman" w:hAnsi="Times New Roman" w:cs="Times New Roman"/>
          <w:sz w:val="24"/>
          <w:szCs w:val="24"/>
          <w:lang w:val="en-US"/>
        </w:rPr>
        <w:t>favour</w:t>
      </w:r>
      <w:proofErr w:type="spellEnd"/>
      <w:r>
        <w:rPr>
          <w:rFonts w:ascii="Times New Roman" w:hAnsi="Times New Roman" w:cs="Times New Roman"/>
          <w:sz w:val="24"/>
          <w:szCs w:val="24"/>
          <w:lang w:val="en-US"/>
        </w:rPr>
        <w:t xml:space="preserve"> of the process, </w:t>
      </w:r>
      <w:r w:rsidR="00D76731">
        <w:rPr>
          <w:rFonts w:ascii="Times New Roman" w:hAnsi="Times New Roman" w:cs="Times New Roman"/>
          <w:sz w:val="24"/>
          <w:szCs w:val="24"/>
          <w:lang w:val="en-US"/>
        </w:rPr>
        <w:t>and this for several facets.</w:t>
      </w:r>
    </w:p>
    <w:p w:rsidR="006069E9" w:rsidRPr="00D76731" w:rsidRDefault="003C3B27" w:rsidP="00D76731">
      <w:pPr>
        <w:pStyle w:val="ListParagraph"/>
        <w:numPr>
          <w:ilvl w:val="0"/>
          <w:numId w:val="4"/>
        </w:numPr>
        <w:spacing w:after="120" w:line="240" w:lineRule="auto"/>
        <w:jc w:val="both"/>
        <w:rPr>
          <w:rFonts w:ascii="Times New Roman" w:hAnsi="Times New Roman" w:cs="Times New Roman"/>
          <w:sz w:val="24"/>
          <w:szCs w:val="24"/>
          <w:lang w:val="en-US"/>
        </w:rPr>
      </w:pPr>
      <w:r w:rsidRPr="00D76731">
        <w:rPr>
          <w:rFonts w:ascii="Times New Roman" w:hAnsi="Times New Roman" w:cs="Times New Roman"/>
          <w:sz w:val="24"/>
          <w:szCs w:val="24"/>
          <w:lang w:val="en-US"/>
        </w:rPr>
        <w:t>The areas of competence will not have the same relevance for all engineering</w:t>
      </w:r>
      <w:r w:rsidRPr="00D76731">
        <w:rPr>
          <w:rFonts w:ascii="Times New Roman" w:hAnsi="Times New Roman" w:cs="Times New Roman"/>
          <w:sz w:val="24"/>
          <w:szCs w:val="24"/>
          <w:lang w:val="en-GB"/>
        </w:rPr>
        <w:t xml:space="preserve"> programmes</w:t>
      </w:r>
      <w:r w:rsidRPr="00D76731">
        <w:rPr>
          <w:rFonts w:ascii="Times New Roman" w:hAnsi="Times New Roman" w:cs="Times New Roman"/>
          <w:sz w:val="24"/>
          <w:szCs w:val="24"/>
          <w:lang w:val="en-US"/>
        </w:rPr>
        <w:t>.</w:t>
      </w:r>
      <w:r w:rsidR="007B617D" w:rsidRPr="00D76731">
        <w:rPr>
          <w:rFonts w:ascii="Times New Roman" w:hAnsi="Times New Roman" w:cs="Times New Roman"/>
          <w:sz w:val="24"/>
          <w:szCs w:val="24"/>
          <w:lang w:val="en-US"/>
        </w:rPr>
        <w:t xml:space="preserve"> </w:t>
      </w:r>
      <w:r w:rsidR="003B65C2" w:rsidRPr="00D76731">
        <w:rPr>
          <w:rFonts w:ascii="Times New Roman" w:hAnsi="Times New Roman" w:cs="Times New Roman"/>
          <w:sz w:val="24"/>
          <w:szCs w:val="24"/>
          <w:lang w:val="en-US"/>
        </w:rPr>
        <w:t>Within s</w:t>
      </w:r>
      <w:r w:rsidR="000C417B" w:rsidRPr="00D76731">
        <w:rPr>
          <w:rFonts w:ascii="Times New Roman" w:hAnsi="Times New Roman" w:cs="Times New Roman"/>
          <w:sz w:val="24"/>
          <w:szCs w:val="24"/>
          <w:lang w:val="en-US"/>
        </w:rPr>
        <w:t xml:space="preserve">elf-assessment </w:t>
      </w:r>
      <w:r w:rsidR="003B65C2" w:rsidRPr="00D76731">
        <w:rPr>
          <w:rFonts w:ascii="Times New Roman" w:hAnsi="Times New Roman" w:cs="Times New Roman"/>
          <w:sz w:val="24"/>
          <w:szCs w:val="24"/>
          <w:lang w:val="en-US"/>
        </w:rPr>
        <w:t>reports, c</w:t>
      </w:r>
      <w:r w:rsidR="007B617D" w:rsidRPr="00D76731">
        <w:rPr>
          <w:rFonts w:ascii="Times New Roman" w:hAnsi="Times New Roman" w:cs="Times New Roman"/>
          <w:sz w:val="24"/>
          <w:szCs w:val="24"/>
          <w:lang w:val="en-US"/>
        </w:rPr>
        <w:t xml:space="preserve">ompetence profiles are helpful </w:t>
      </w:r>
      <w:r w:rsidR="007B617D" w:rsidRPr="00D76731">
        <w:rPr>
          <w:rFonts w:ascii="Times New Roman" w:hAnsi="Times New Roman" w:cs="Times New Roman"/>
          <w:i/>
          <w:sz w:val="24"/>
          <w:szCs w:val="24"/>
          <w:lang w:val="en-US"/>
        </w:rPr>
        <w:t>defining and visualizing essential aspects</w:t>
      </w:r>
      <w:r w:rsidR="007B617D" w:rsidRPr="00D76731">
        <w:rPr>
          <w:rFonts w:ascii="Times New Roman" w:hAnsi="Times New Roman" w:cs="Times New Roman"/>
          <w:sz w:val="24"/>
          <w:szCs w:val="24"/>
          <w:lang w:val="en-US"/>
        </w:rPr>
        <w:t xml:space="preserve"> </w:t>
      </w:r>
      <w:r w:rsidR="0051136B">
        <w:rPr>
          <w:rFonts w:ascii="Times New Roman" w:hAnsi="Times New Roman" w:cs="Times New Roman"/>
          <w:i/>
          <w:sz w:val="24"/>
          <w:szCs w:val="24"/>
          <w:lang w:val="en-US"/>
        </w:rPr>
        <w:t xml:space="preserve">of the study </w:t>
      </w:r>
      <w:proofErr w:type="spellStart"/>
      <w:r w:rsidR="0051136B">
        <w:rPr>
          <w:rFonts w:ascii="Times New Roman" w:hAnsi="Times New Roman" w:cs="Times New Roman"/>
          <w:i/>
          <w:sz w:val="24"/>
          <w:szCs w:val="24"/>
          <w:lang w:val="en-US"/>
        </w:rPr>
        <w:t>programme</w:t>
      </w:r>
      <w:proofErr w:type="spellEnd"/>
      <w:r w:rsidR="0051136B">
        <w:rPr>
          <w:rFonts w:ascii="Times New Roman" w:hAnsi="Times New Roman" w:cs="Times New Roman"/>
          <w:i/>
          <w:sz w:val="24"/>
          <w:szCs w:val="24"/>
          <w:lang w:val="en-US"/>
        </w:rPr>
        <w:t xml:space="preserve"> </w:t>
      </w:r>
      <w:r w:rsidR="007B617D" w:rsidRPr="00D76731">
        <w:rPr>
          <w:rFonts w:ascii="Times New Roman" w:hAnsi="Times New Roman" w:cs="Times New Roman"/>
          <w:sz w:val="24"/>
          <w:szCs w:val="24"/>
          <w:lang w:val="en-US"/>
        </w:rPr>
        <w:t>as well as minimum levels in terms of academic competences.</w:t>
      </w:r>
    </w:p>
    <w:p w:rsidR="007B617D" w:rsidRPr="00BD0A1D" w:rsidRDefault="00BA0DBC" w:rsidP="00D76731">
      <w:pPr>
        <w:spacing w:after="120" w:line="24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One good example</w:t>
      </w:r>
      <w:r w:rsidR="007B617D" w:rsidRPr="00BD0A1D">
        <w:rPr>
          <w:rFonts w:ascii="Times New Roman" w:hAnsi="Times New Roman" w:cs="Times New Roman"/>
          <w:sz w:val="24"/>
          <w:szCs w:val="24"/>
          <w:lang w:val="en-US"/>
        </w:rPr>
        <w:t xml:space="preserve"> is the description of the specific competence areas addressed in the project based module ‘Problem Solving and Engineer</w:t>
      </w:r>
      <w:r w:rsidR="000C417B" w:rsidRPr="00BD0A1D">
        <w:rPr>
          <w:rFonts w:ascii="Times New Roman" w:hAnsi="Times New Roman" w:cs="Times New Roman"/>
          <w:sz w:val="24"/>
          <w:szCs w:val="24"/>
          <w:lang w:val="en-US"/>
        </w:rPr>
        <w:t>ing Design’ as shown in Figure 3</w:t>
      </w:r>
      <w:r w:rsidR="007B617D" w:rsidRPr="00BD0A1D">
        <w:rPr>
          <w:rFonts w:ascii="Times New Roman" w:hAnsi="Times New Roman" w:cs="Times New Roman"/>
          <w:sz w:val="24"/>
          <w:szCs w:val="24"/>
          <w:lang w:val="en-US"/>
        </w:rPr>
        <w:t>.</w:t>
      </w:r>
    </w:p>
    <w:p w:rsidR="007B617D" w:rsidRDefault="007B617D" w:rsidP="006069E9">
      <w:pPr>
        <w:pStyle w:val="ListParagraph"/>
        <w:spacing w:after="120" w:line="240" w:lineRule="auto"/>
        <w:ind w:left="357"/>
        <w:jc w:val="both"/>
        <w:rPr>
          <w:rFonts w:ascii="Times New Roman" w:hAnsi="Times New Roman" w:cs="Times New Roman"/>
          <w:lang w:val="en-US"/>
        </w:rPr>
      </w:pPr>
    </w:p>
    <w:p w:rsidR="007B617D" w:rsidRDefault="007B617D" w:rsidP="006069E9">
      <w:pPr>
        <w:pStyle w:val="ListParagraph"/>
        <w:spacing w:after="120" w:line="240" w:lineRule="auto"/>
        <w:ind w:left="357"/>
        <w:jc w:val="both"/>
        <w:rPr>
          <w:rFonts w:ascii="Times New Roman" w:hAnsi="Times New Roman" w:cs="Times New Roman"/>
          <w:lang w:val="en-US"/>
        </w:rPr>
      </w:pPr>
    </w:p>
    <w:p w:rsidR="007B617D" w:rsidRPr="00C00AC4" w:rsidRDefault="00C00AC4" w:rsidP="00C00AC4">
      <w:pPr>
        <w:pStyle w:val="ListParagraph"/>
        <w:spacing w:after="120" w:line="240" w:lineRule="auto"/>
        <w:ind w:left="357"/>
        <w:jc w:val="both"/>
        <w:rPr>
          <w:rFonts w:ascii="Times New Roman" w:hAnsi="Times New Roman" w:cs="Times New Roman"/>
          <w:lang w:val="en-US"/>
        </w:rPr>
      </w:pPr>
      <w:r>
        <w:rPr>
          <w:noProof/>
          <w:lang w:eastAsia="nl-BE"/>
        </w:rPr>
        <w:drawing>
          <wp:inline distT="0" distB="0" distL="0" distR="0" wp14:anchorId="791D0F06" wp14:editId="6AD64BE5">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617D" w:rsidRPr="0002702F" w:rsidRDefault="000C417B" w:rsidP="007B617D">
      <w:pPr>
        <w:spacing w:after="12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Figure 3</w:t>
      </w:r>
      <w:r w:rsidR="00C00AC4">
        <w:rPr>
          <w:rFonts w:ascii="Times New Roman" w:hAnsi="Times New Roman" w:cs="Times New Roman"/>
          <w:b/>
          <w:sz w:val="24"/>
          <w:szCs w:val="24"/>
          <w:lang w:val="en-US"/>
        </w:rPr>
        <w:t>. Competence profile of a bachelor</w:t>
      </w:r>
      <w:r w:rsidR="00C00AC4" w:rsidRPr="007B470B">
        <w:rPr>
          <w:rFonts w:ascii="Times New Roman" w:hAnsi="Times New Roman" w:cs="Times New Roman"/>
          <w:b/>
          <w:sz w:val="24"/>
          <w:szCs w:val="24"/>
          <w:lang w:val="en-GB"/>
        </w:rPr>
        <w:t xml:space="preserve"> </w:t>
      </w:r>
      <w:r w:rsidR="00783724">
        <w:rPr>
          <w:rFonts w:ascii="Times New Roman" w:hAnsi="Times New Roman" w:cs="Times New Roman"/>
          <w:b/>
          <w:sz w:val="24"/>
          <w:szCs w:val="24"/>
          <w:lang w:val="en-GB"/>
        </w:rPr>
        <w:t xml:space="preserve">engineering </w:t>
      </w:r>
      <w:r w:rsidR="00C00AC4" w:rsidRPr="007B470B">
        <w:rPr>
          <w:rFonts w:ascii="Times New Roman" w:hAnsi="Times New Roman" w:cs="Times New Roman"/>
          <w:b/>
          <w:sz w:val="24"/>
          <w:szCs w:val="24"/>
          <w:lang w:val="en-GB"/>
        </w:rPr>
        <w:t>programme</w:t>
      </w:r>
      <w:r w:rsidR="00C00AC4">
        <w:rPr>
          <w:rFonts w:ascii="Times New Roman" w:hAnsi="Times New Roman" w:cs="Times New Roman"/>
          <w:b/>
          <w:sz w:val="24"/>
          <w:szCs w:val="24"/>
          <w:lang w:val="en-US"/>
        </w:rPr>
        <w:t xml:space="preserve"> at the Faculty of Engineering Science, KU Leuven, without the module ‘Problem Solving and </w:t>
      </w:r>
      <w:r w:rsidR="007B470B">
        <w:rPr>
          <w:rFonts w:ascii="Times New Roman" w:hAnsi="Times New Roman" w:cs="Times New Roman"/>
          <w:b/>
          <w:sz w:val="24"/>
          <w:szCs w:val="24"/>
          <w:lang w:val="en-US"/>
        </w:rPr>
        <w:t>Engineering</w:t>
      </w:r>
      <w:r w:rsidR="00C00AC4">
        <w:rPr>
          <w:rFonts w:ascii="Times New Roman" w:hAnsi="Times New Roman" w:cs="Times New Roman"/>
          <w:b/>
          <w:sz w:val="24"/>
          <w:szCs w:val="24"/>
          <w:lang w:val="en-US"/>
        </w:rPr>
        <w:t xml:space="preserve"> Design’ (black) and of the module itself (grey)</w:t>
      </w:r>
      <w:r w:rsidR="007B617D">
        <w:rPr>
          <w:rFonts w:ascii="Times New Roman" w:hAnsi="Times New Roman" w:cs="Times New Roman"/>
          <w:b/>
          <w:sz w:val="24"/>
          <w:szCs w:val="24"/>
          <w:lang w:val="en-US"/>
        </w:rPr>
        <w:t xml:space="preserve">. </w:t>
      </w:r>
      <w:r w:rsidR="00BA40FA">
        <w:rPr>
          <w:rFonts w:ascii="Times New Roman" w:hAnsi="Times New Roman" w:cs="Times New Roman"/>
          <w:b/>
          <w:sz w:val="24"/>
          <w:szCs w:val="24"/>
          <w:lang w:val="en-US"/>
        </w:rPr>
        <w:t>Axes as described in Figure2.</w:t>
      </w:r>
    </w:p>
    <w:p w:rsidR="007B617D" w:rsidRPr="009C5C73" w:rsidRDefault="007B617D" w:rsidP="007B617D">
      <w:pPr>
        <w:spacing w:after="120" w:line="240" w:lineRule="auto"/>
        <w:jc w:val="both"/>
        <w:rPr>
          <w:rFonts w:ascii="Times New Roman" w:hAnsi="Times New Roman" w:cs="Times New Roman"/>
          <w:b/>
          <w:sz w:val="28"/>
          <w:szCs w:val="28"/>
          <w:lang w:val="en-US"/>
        </w:rPr>
      </w:pPr>
    </w:p>
    <w:p w:rsidR="007B617D" w:rsidRPr="004F7562" w:rsidRDefault="00094655" w:rsidP="00D76731">
      <w:pPr>
        <w:spacing w:after="120" w:line="240" w:lineRule="auto"/>
        <w:ind w:left="708"/>
        <w:jc w:val="both"/>
        <w:rPr>
          <w:rFonts w:ascii="Times New Roman" w:hAnsi="Times New Roman" w:cs="Times New Roman"/>
          <w:sz w:val="24"/>
          <w:szCs w:val="24"/>
          <w:lang w:val="en-US"/>
        </w:rPr>
      </w:pPr>
      <w:r w:rsidRPr="004F7562">
        <w:rPr>
          <w:rFonts w:ascii="Times New Roman" w:hAnsi="Times New Roman" w:cs="Times New Roman"/>
          <w:sz w:val="24"/>
          <w:szCs w:val="24"/>
          <w:lang w:val="en-US"/>
        </w:rPr>
        <w:t>Parallel to the regular coursework, all students of the bachelor engineering</w:t>
      </w:r>
      <w:r w:rsidRPr="004F7562">
        <w:rPr>
          <w:rFonts w:ascii="Times New Roman" w:hAnsi="Times New Roman" w:cs="Times New Roman"/>
          <w:sz w:val="24"/>
          <w:szCs w:val="24"/>
          <w:lang w:val="en-GB"/>
        </w:rPr>
        <w:t xml:space="preserve"> programme</w:t>
      </w:r>
      <w:r w:rsidRPr="004F7562">
        <w:rPr>
          <w:rFonts w:ascii="Times New Roman" w:hAnsi="Times New Roman" w:cs="Times New Roman"/>
          <w:sz w:val="24"/>
          <w:szCs w:val="24"/>
          <w:lang w:val="en-US"/>
        </w:rPr>
        <w:t xml:space="preserve"> have to take this module which introduces them into real engineering practice and teamwork. The concept of this course is to integrate basic principles</w:t>
      </w:r>
      <w:r w:rsidR="00707E7A" w:rsidRPr="004F7562">
        <w:rPr>
          <w:rFonts w:ascii="Times New Roman" w:hAnsi="Times New Roman" w:cs="Times New Roman"/>
          <w:sz w:val="24"/>
          <w:szCs w:val="24"/>
          <w:lang w:val="en-US"/>
        </w:rPr>
        <w:t xml:space="preserve"> of the regular scientific course while working in small groups on design projects. Through the increasing complexity of the assignments, the students are gradually confronted wit</w:t>
      </w:r>
      <w:r w:rsidR="000C417B">
        <w:rPr>
          <w:rFonts w:ascii="Times New Roman" w:hAnsi="Times New Roman" w:cs="Times New Roman"/>
          <w:sz w:val="24"/>
          <w:szCs w:val="24"/>
          <w:lang w:val="en-US"/>
        </w:rPr>
        <w:t>h technical and social skills (</w:t>
      </w:r>
      <w:r w:rsidR="00707E7A" w:rsidRPr="004F7562">
        <w:rPr>
          <w:rFonts w:ascii="Times New Roman" w:hAnsi="Times New Roman" w:cs="Times New Roman"/>
          <w:sz w:val="24"/>
          <w:szCs w:val="24"/>
          <w:lang w:val="en-US"/>
        </w:rPr>
        <w:t xml:space="preserve">Heylen, 2010). </w:t>
      </w:r>
      <w:r w:rsidR="00707E7A" w:rsidRPr="004F7562">
        <w:rPr>
          <w:rFonts w:ascii="Times New Roman" w:hAnsi="Times New Roman" w:cs="Times New Roman"/>
          <w:sz w:val="24"/>
          <w:szCs w:val="24"/>
          <w:lang w:val="en-US"/>
        </w:rPr>
        <w:lastRenderedPageBreak/>
        <w:t>The competence profile</w:t>
      </w:r>
      <w:r w:rsidR="00707E7A" w:rsidRPr="004F7562">
        <w:rPr>
          <w:rFonts w:ascii="Times New Roman" w:hAnsi="Times New Roman" w:cs="Times New Roman"/>
          <w:sz w:val="24"/>
          <w:szCs w:val="24"/>
          <w:lang w:val="en-GB"/>
        </w:rPr>
        <w:t xml:space="preserve"> visualises</w:t>
      </w:r>
      <w:r w:rsidR="00707E7A" w:rsidRPr="004F7562">
        <w:rPr>
          <w:rFonts w:ascii="Times New Roman" w:hAnsi="Times New Roman" w:cs="Times New Roman"/>
          <w:sz w:val="24"/>
          <w:szCs w:val="24"/>
          <w:lang w:val="en-US"/>
        </w:rPr>
        <w:t xml:space="preserve"> the uniqueness of the module through its explicit communication and design characteristics.</w:t>
      </w:r>
    </w:p>
    <w:p w:rsidR="00D34647" w:rsidRPr="004F7562" w:rsidRDefault="00D34647" w:rsidP="004F7562">
      <w:pPr>
        <w:spacing w:after="120" w:line="240" w:lineRule="auto"/>
        <w:jc w:val="both"/>
        <w:rPr>
          <w:rFonts w:ascii="Times New Roman" w:hAnsi="Times New Roman" w:cs="Times New Roman"/>
          <w:sz w:val="24"/>
          <w:szCs w:val="24"/>
          <w:lang w:val="en-US"/>
        </w:rPr>
      </w:pPr>
    </w:p>
    <w:p w:rsidR="0074058E" w:rsidRPr="00D76731" w:rsidRDefault="00D34647" w:rsidP="00D76731">
      <w:pPr>
        <w:pStyle w:val="ListParagraph"/>
        <w:numPr>
          <w:ilvl w:val="0"/>
          <w:numId w:val="4"/>
        </w:numPr>
        <w:spacing w:after="120" w:line="240" w:lineRule="auto"/>
        <w:jc w:val="both"/>
        <w:rPr>
          <w:rFonts w:ascii="Times New Roman" w:hAnsi="Times New Roman" w:cs="Times New Roman"/>
          <w:sz w:val="24"/>
          <w:szCs w:val="24"/>
          <w:lang w:val="en-US"/>
        </w:rPr>
      </w:pPr>
      <w:r w:rsidRPr="00D76731">
        <w:rPr>
          <w:rFonts w:ascii="Times New Roman" w:hAnsi="Times New Roman" w:cs="Times New Roman"/>
          <w:sz w:val="24"/>
          <w:szCs w:val="24"/>
          <w:lang w:val="en-US"/>
        </w:rPr>
        <w:t xml:space="preserve">Competence profiles are also useful for </w:t>
      </w:r>
      <w:r w:rsidRPr="00D76731">
        <w:rPr>
          <w:rFonts w:ascii="Times New Roman" w:hAnsi="Times New Roman" w:cs="Times New Roman"/>
          <w:i/>
          <w:sz w:val="24"/>
          <w:szCs w:val="24"/>
          <w:lang w:val="en-US"/>
        </w:rPr>
        <w:t>international profiling and benchmarking.</w:t>
      </w:r>
      <w:r w:rsidRPr="00D76731">
        <w:rPr>
          <w:rFonts w:ascii="Times New Roman" w:hAnsi="Times New Roman" w:cs="Times New Roman"/>
          <w:sz w:val="24"/>
          <w:szCs w:val="24"/>
          <w:lang w:val="en-US"/>
        </w:rPr>
        <w:t xml:space="preserve"> </w:t>
      </w:r>
      <w:r w:rsidR="001C4D78" w:rsidRPr="00D76731">
        <w:rPr>
          <w:rFonts w:ascii="Times New Roman" w:hAnsi="Times New Roman" w:cs="Times New Roman"/>
          <w:sz w:val="24"/>
          <w:szCs w:val="24"/>
          <w:lang w:val="en-US"/>
        </w:rPr>
        <w:t xml:space="preserve">Using a strict analysis protocol, ACQA based competence profiles of different universities can be compared. </w:t>
      </w:r>
      <w:r w:rsidR="002536E3" w:rsidRPr="00D76731">
        <w:rPr>
          <w:rFonts w:ascii="Times New Roman" w:hAnsi="Times New Roman" w:cs="Times New Roman"/>
          <w:sz w:val="24"/>
          <w:szCs w:val="24"/>
          <w:lang w:val="en-US"/>
        </w:rPr>
        <w:t>At the TU/e, 17</w:t>
      </w:r>
      <w:r w:rsidR="002536E3" w:rsidRPr="00D76731">
        <w:rPr>
          <w:rFonts w:ascii="Times New Roman" w:hAnsi="Times New Roman" w:cs="Times New Roman"/>
          <w:sz w:val="24"/>
          <w:szCs w:val="24"/>
          <w:lang w:val="en-GB"/>
        </w:rPr>
        <w:t xml:space="preserve"> progra</w:t>
      </w:r>
      <w:r w:rsidRPr="00D76731">
        <w:rPr>
          <w:rFonts w:ascii="Times New Roman" w:hAnsi="Times New Roman" w:cs="Times New Roman"/>
          <w:sz w:val="24"/>
          <w:szCs w:val="24"/>
          <w:lang w:val="en-GB"/>
        </w:rPr>
        <w:t>mmes</w:t>
      </w:r>
      <w:r w:rsidRPr="00D76731">
        <w:rPr>
          <w:rFonts w:ascii="Times New Roman" w:hAnsi="Times New Roman" w:cs="Times New Roman"/>
          <w:sz w:val="24"/>
          <w:szCs w:val="24"/>
          <w:lang w:val="en-US"/>
        </w:rPr>
        <w:t xml:space="preserve"> have already been described</w:t>
      </w:r>
      <w:r w:rsidR="002536E3" w:rsidRPr="00D76731">
        <w:rPr>
          <w:rFonts w:ascii="Times New Roman" w:hAnsi="Times New Roman" w:cs="Times New Roman"/>
          <w:sz w:val="24"/>
          <w:szCs w:val="24"/>
          <w:lang w:val="en-US"/>
        </w:rPr>
        <w:t xml:space="preserve"> (</w:t>
      </w:r>
      <w:proofErr w:type="spellStart"/>
      <w:r w:rsidR="002536E3" w:rsidRPr="00D76731">
        <w:rPr>
          <w:rFonts w:ascii="Times New Roman" w:hAnsi="Times New Roman" w:cs="Times New Roman"/>
          <w:sz w:val="24"/>
          <w:szCs w:val="24"/>
          <w:lang w:val="en-US"/>
        </w:rPr>
        <w:t>Perennet</w:t>
      </w:r>
      <w:proofErr w:type="spellEnd"/>
      <w:r w:rsidR="002536E3" w:rsidRPr="00D76731">
        <w:rPr>
          <w:rFonts w:ascii="Times New Roman" w:hAnsi="Times New Roman" w:cs="Times New Roman"/>
          <w:sz w:val="24"/>
          <w:szCs w:val="24"/>
          <w:lang w:val="en-US"/>
        </w:rPr>
        <w:t xml:space="preserve"> </w:t>
      </w:r>
      <w:r w:rsidR="002536E3" w:rsidRPr="00D76731">
        <w:rPr>
          <w:rFonts w:ascii="Times New Roman" w:hAnsi="Times New Roman" w:cs="Times New Roman"/>
          <w:i/>
          <w:sz w:val="24"/>
          <w:szCs w:val="24"/>
          <w:lang w:val="en-US"/>
        </w:rPr>
        <w:t xml:space="preserve">et </w:t>
      </w:r>
      <w:r w:rsidR="002536E3" w:rsidRPr="00D76731">
        <w:rPr>
          <w:rFonts w:ascii="Times New Roman" w:hAnsi="Times New Roman" w:cs="Times New Roman"/>
          <w:sz w:val="24"/>
          <w:szCs w:val="24"/>
          <w:lang w:val="en-US"/>
        </w:rPr>
        <w:t>al., 2011).</w:t>
      </w:r>
      <w:r w:rsidRPr="00D76731">
        <w:rPr>
          <w:rFonts w:ascii="Times New Roman" w:hAnsi="Times New Roman" w:cs="Times New Roman"/>
          <w:sz w:val="24"/>
          <w:szCs w:val="24"/>
          <w:lang w:val="en-US"/>
        </w:rPr>
        <w:t xml:space="preserve"> The ACQA methodology is also in use at other European univers</w:t>
      </w:r>
      <w:r w:rsidR="004F7562" w:rsidRPr="00D76731">
        <w:rPr>
          <w:rFonts w:ascii="Times New Roman" w:hAnsi="Times New Roman" w:cs="Times New Roman"/>
          <w:sz w:val="24"/>
          <w:szCs w:val="24"/>
          <w:lang w:val="en-US"/>
        </w:rPr>
        <w:t>ities, e.g. TU</w:t>
      </w:r>
      <w:r w:rsidR="000C417B" w:rsidRPr="00D76731">
        <w:rPr>
          <w:rFonts w:ascii="Times New Roman" w:hAnsi="Times New Roman" w:cs="Times New Roman"/>
          <w:sz w:val="24"/>
          <w:szCs w:val="24"/>
          <w:lang w:val="en-US"/>
        </w:rPr>
        <w:t xml:space="preserve"> Berlin. As an example, Figure 4</w:t>
      </w:r>
      <w:r w:rsidR="004F7562" w:rsidRPr="00D76731">
        <w:rPr>
          <w:rFonts w:ascii="Times New Roman" w:hAnsi="Times New Roman" w:cs="Times New Roman"/>
          <w:sz w:val="24"/>
          <w:szCs w:val="24"/>
          <w:lang w:val="en-US"/>
        </w:rPr>
        <w:t xml:space="preserve"> presents and compares the competence profile of a master engineering </w:t>
      </w:r>
      <w:proofErr w:type="spellStart"/>
      <w:r w:rsidR="004F7562" w:rsidRPr="00D76731">
        <w:rPr>
          <w:rFonts w:ascii="Times New Roman" w:hAnsi="Times New Roman" w:cs="Times New Roman"/>
          <w:sz w:val="24"/>
          <w:szCs w:val="24"/>
          <w:lang w:val="en-US"/>
        </w:rPr>
        <w:t>programme</w:t>
      </w:r>
      <w:proofErr w:type="spellEnd"/>
      <w:r w:rsidR="004F7562" w:rsidRPr="00D76731">
        <w:rPr>
          <w:rFonts w:ascii="Times New Roman" w:hAnsi="Times New Roman" w:cs="Times New Roman"/>
          <w:sz w:val="24"/>
          <w:szCs w:val="24"/>
          <w:lang w:val="en-US"/>
        </w:rPr>
        <w:t xml:space="preserve"> of electrical engineering both at KU Leuven and TU Berlin.</w:t>
      </w:r>
    </w:p>
    <w:p w:rsidR="00D34647" w:rsidRDefault="00AD0DBA" w:rsidP="006069E9">
      <w:pPr>
        <w:pStyle w:val="ListParagraph"/>
        <w:spacing w:after="120" w:line="240" w:lineRule="auto"/>
        <w:ind w:left="357"/>
        <w:jc w:val="both"/>
        <w:rPr>
          <w:rFonts w:ascii="Times New Roman" w:hAnsi="Times New Roman" w:cs="Times New Roman"/>
          <w:lang w:val="en-US"/>
        </w:rPr>
      </w:pPr>
      <w:r>
        <w:rPr>
          <w:noProof/>
          <w:lang w:eastAsia="nl-BE"/>
        </w:rPr>
        <w:drawing>
          <wp:inline distT="0" distB="0" distL="0" distR="0" wp14:anchorId="2527701B" wp14:editId="75048F8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4647" w:rsidRPr="0002702F" w:rsidRDefault="000C417B" w:rsidP="00D34647">
      <w:pPr>
        <w:spacing w:after="12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Figure 4</w:t>
      </w:r>
      <w:r w:rsidR="00D34647">
        <w:rPr>
          <w:rFonts w:ascii="Times New Roman" w:hAnsi="Times New Roman" w:cs="Times New Roman"/>
          <w:b/>
          <w:sz w:val="24"/>
          <w:szCs w:val="24"/>
          <w:lang w:val="en-US"/>
        </w:rPr>
        <w:t xml:space="preserve">. </w:t>
      </w:r>
      <w:r w:rsidR="00783724">
        <w:rPr>
          <w:rFonts w:ascii="Times New Roman" w:hAnsi="Times New Roman" w:cs="Times New Roman"/>
          <w:b/>
          <w:sz w:val="24"/>
          <w:szCs w:val="24"/>
          <w:lang w:val="en-US"/>
        </w:rPr>
        <w:t>Competence profile of a master engineering</w:t>
      </w:r>
      <w:r w:rsidR="00D34647" w:rsidRPr="007B470B">
        <w:rPr>
          <w:rFonts w:ascii="Times New Roman" w:hAnsi="Times New Roman" w:cs="Times New Roman"/>
          <w:b/>
          <w:sz w:val="24"/>
          <w:szCs w:val="24"/>
          <w:lang w:val="en-GB"/>
        </w:rPr>
        <w:t xml:space="preserve"> programme</w:t>
      </w:r>
      <w:r w:rsidR="00D34647">
        <w:rPr>
          <w:rFonts w:ascii="Times New Roman" w:hAnsi="Times New Roman" w:cs="Times New Roman"/>
          <w:b/>
          <w:sz w:val="24"/>
          <w:szCs w:val="24"/>
          <w:lang w:val="en-US"/>
        </w:rPr>
        <w:t xml:space="preserve"> </w:t>
      </w:r>
      <w:r w:rsidR="00783724">
        <w:rPr>
          <w:rFonts w:ascii="Times New Roman" w:hAnsi="Times New Roman" w:cs="Times New Roman"/>
          <w:b/>
          <w:sz w:val="24"/>
          <w:szCs w:val="24"/>
          <w:lang w:val="en-US"/>
        </w:rPr>
        <w:t xml:space="preserve">(electrical engineering) at KU Leuven (black) and at TU Berlin (grey-adapted from </w:t>
      </w:r>
      <w:proofErr w:type="spellStart"/>
      <w:r w:rsidR="00783724">
        <w:rPr>
          <w:rFonts w:ascii="Times New Roman" w:hAnsi="Times New Roman" w:cs="Times New Roman"/>
          <w:b/>
          <w:sz w:val="24"/>
          <w:szCs w:val="24"/>
          <w:lang w:val="en-US"/>
        </w:rPr>
        <w:t>Heiss</w:t>
      </w:r>
      <w:proofErr w:type="spellEnd"/>
      <w:r w:rsidR="00783724">
        <w:rPr>
          <w:rFonts w:ascii="Times New Roman" w:hAnsi="Times New Roman" w:cs="Times New Roman"/>
          <w:b/>
          <w:sz w:val="24"/>
          <w:szCs w:val="24"/>
          <w:lang w:val="en-US"/>
        </w:rPr>
        <w:t xml:space="preserve"> and </w:t>
      </w:r>
      <w:proofErr w:type="spellStart"/>
      <w:r w:rsidR="00783724">
        <w:rPr>
          <w:rFonts w:ascii="Times New Roman" w:hAnsi="Times New Roman" w:cs="Times New Roman"/>
          <w:b/>
          <w:sz w:val="24"/>
          <w:szCs w:val="24"/>
          <w:lang w:val="en-US"/>
        </w:rPr>
        <w:t>Raue</w:t>
      </w:r>
      <w:proofErr w:type="spellEnd"/>
      <w:r w:rsidR="00783724">
        <w:rPr>
          <w:rFonts w:ascii="Times New Roman" w:hAnsi="Times New Roman" w:cs="Times New Roman"/>
          <w:b/>
          <w:sz w:val="24"/>
          <w:szCs w:val="24"/>
          <w:lang w:val="en-US"/>
        </w:rPr>
        <w:t xml:space="preserve">, 2009). </w:t>
      </w:r>
      <w:r w:rsidR="00BA40FA">
        <w:rPr>
          <w:rFonts w:ascii="Times New Roman" w:hAnsi="Times New Roman" w:cs="Times New Roman"/>
          <w:b/>
          <w:sz w:val="24"/>
          <w:szCs w:val="24"/>
          <w:lang w:val="en-US"/>
        </w:rPr>
        <w:t>Axes as described in Figure2.</w:t>
      </w:r>
    </w:p>
    <w:p w:rsidR="00D34647" w:rsidRPr="001C4D78" w:rsidRDefault="00D34647" w:rsidP="006069E9">
      <w:pPr>
        <w:pStyle w:val="ListParagraph"/>
        <w:spacing w:after="120" w:line="240" w:lineRule="auto"/>
        <w:ind w:left="357"/>
        <w:jc w:val="both"/>
        <w:rPr>
          <w:rFonts w:ascii="Times New Roman" w:hAnsi="Times New Roman" w:cs="Times New Roman"/>
          <w:lang w:val="en-US"/>
        </w:rPr>
      </w:pPr>
    </w:p>
    <w:p w:rsidR="00D76731" w:rsidRDefault="00E81551" w:rsidP="00D76731">
      <w:pPr>
        <w:pStyle w:val="ListParagraph"/>
        <w:numPr>
          <w:ilvl w:val="0"/>
          <w:numId w:val="4"/>
        </w:numPr>
        <w:spacing w:after="120" w:line="240" w:lineRule="auto"/>
        <w:jc w:val="both"/>
        <w:rPr>
          <w:rFonts w:ascii="Times New Roman" w:hAnsi="Times New Roman" w:cs="Times New Roman"/>
          <w:sz w:val="24"/>
          <w:szCs w:val="24"/>
          <w:lang w:val="en-US"/>
        </w:rPr>
      </w:pPr>
      <w:r w:rsidRPr="00D76731">
        <w:rPr>
          <w:rFonts w:ascii="Times New Roman" w:hAnsi="Times New Roman" w:cs="Times New Roman"/>
          <w:sz w:val="24"/>
          <w:szCs w:val="24"/>
          <w:lang w:val="en-US"/>
        </w:rPr>
        <w:t xml:space="preserve">In general, self-assessment reports should also give evidence </w:t>
      </w:r>
      <w:r w:rsidR="00D76731">
        <w:rPr>
          <w:rFonts w:ascii="Times New Roman" w:hAnsi="Times New Roman" w:cs="Times New Roman"/>
          <w:sz w:val="24"/>
          <w:szCs w:val="24"/>
          <w:lang w:val="en-US"/>
        </w:rPr>
        <w:t xml:space="preserve">of the </w:t>
      </w:r>
      <w:r w:rsidR="00D76731" w:rsidRPr="00D76731">
        <w:rPr>
          <w:rFonts w:ascii="Times New Roman" w:hAnsi="Times New Roman" w:cs="Times New Roman"/>
          <w:i/>
          <w:sz w:val="24"/>
          <w:szCs w:val="24"/>
          <w:lang w:val="en-US"/>
        </w:rPr>
        <w:t>stakeholders’ opinion</w:t>
      </w:r>
      <w:r w:rsidR="00D76731">
        <w:rPr>
          <w:rFonts w:ascii="Times New Roman" w:hAnsi="Times New Roman" w:cs="Times New Roman"/>
          <w:sz w:val="24"/>
          <w:szCs w:val="24"/>
          <w:lang w:val="en-US"/>
        </w:rPr>
        <w:t xml:space="preserve"> on the </w:t>
      </w:r>
      <w:r w:rsidRPr="00D76731">
        <w:rPr>
          <w:rFonts w:ascii="Times New Roman" w:hAnsi="Times New Roman" w:cs="Times New Roman"/>
          <w:sz w:val="24"/>
          <w:szCs w:val="24"/>
          <w:lang w:val="en-US"/>
        </w:rPr>
        <w:t>education</w:t>
      </w:r>
      <w:r w:rsidR="00D76731">
        <w:rPr>
          <w:rFonts w:ascii="Times New Roman" w:hAnsi="Times New Roman" w:cs="Times New Roman"/>
          <w:sz w:val="24"/>
          <w:szCs w:val="24"/>
          <w:lang w:val="en-US"/>
        </w:rPr>
        <w:t xml:space="preserve"> delivered</w:t>
      </w:r>
      <w:r w:rsidRPr="00D76731">
        <w:rPr>
          <w:rFonts w:ascii="Times New Roman" w:hAnsi="Times New Roman" w:cs="Times New Roman"/>
          <w:sz w:val="24"/>
          <w:szCs w:val="24"/>
          <w:lang w:val="en-US"/>
        </w:rPr>
        <w:t>. During recent self-assessment procedures at the Facu</w:t>
      </w:r>
      <w:r w:rsidR="00D76731">
        <w:rPr>
          <w:rFonts w:ascii="Times New Roman" w:hAnsi="Times New Roman" w:cs="Times New Roman"/>
          <w:sz w:val="24"/>
          <w:szCs w:val="24"/>
          <w:lang w:val="en-US"/>
        </w:rPr>
        <w:t>lty of Engineering Science,</w:t>
      </w:r>
      <w:r w:rsidRPr="00D76731">
        <w:rPr>
          <w:rFonts w:ascii="Times New Roman" w:hAnsi="Times New Roman" w:cs="Times New Roman"/>
          <w:sz w:val="24"/>
          <w:szCs w:val="24"/>
          <w:lang w:val="en-US"/>
        </w:rPr>
        <w:t xml:space="preserve"> graduates and employers were questioned </w:t>
      </w:r>
      <w:r w:rsidR="009A36C6" w:rsidRPr="00D76731">
        <w:rPr>
          <w:rFonts w:ascii="Times New Roman" w:hAnsi="Times New Roman" w:cs="Times New Roman"/>
          <w:sz w:val="24"/>
          <w:szCs w:val="24"/>
          <w:lang w:val="en-US"/>
        </w:rPr>
        <w:t xml:space="preserve">in terms of the ACQA </w:t>
      </w:r>
      <w:r w:rsidRPr="00D76731">
        <w:rPr>
          <w:rFonts w:ascii="Times New Roman" w:hAnsi="Times New Roman" w:cs="Times New Roman"/>
          <w:sz w:val="24"/>
          <w:szCs w:val="24"/>
          <w:lang w:val="en-US"/>
        </w:rPr>
        <w:t>framework</w:t>
      </w:r>
      <w:r w:rsidR="009A36C6" w:rsidRPr="00D76731">
        <w:rPr>
          <w:rFonts w:ascii="Times New Roman" w:hAnsi="Times New Roman" w:cs="Times New Roman"/>
          <w:sz w:val="24"/>
          <w:szCs w:val="24"/>
          <w:lang w:val="en-US"/>
        </w:rPr>
        <w:t xml:space="preserve"> and based on the ACQA competence profiles generated. </w:t>
      </w:r>
      <w:r w:rsidR="00D76731">
        <w:rPr>
          <w:rFonts w:ascii="Times New Roman" w:hAnsi="Times New Roman" w:cs="Times New Roman"/>
          <w:sz w:val="24"/>
          <w:szCs w:val="24"/>
          <w:lang w:val="en-US"/>
        </w:rPr>
        <w:t>Round tables were organized for the spec</w:t>
      </w:r>
      <w:r w:rsidR="00614418">
        <w:rPr>
          <w:rFonts w:ascii="Times New Roman" w:hAnsi="Times New Roman" w:cs="Times New Roman"/>
          <w:sz w:val="24"/>
          <w:szCs w:val="24"/>
          <w:lang w:val="en-US"/>
        </w:rPr>
        <w:t xml:space="preserve">ific target groups, </w:t>
      </w:r>
      <w:r w:rsidR="00D76731">
        <w:rPr>
          <w:rFonts w:ascii="Times New Roman" w:hAnsi="Times New Roman" w:cs="Times New Roman"/>
          <w:sz w:val="24"/>
          <w:szCs w:val="24"/>
          <w:lang w:val="en-US"/>
        </w:rPr>
        <w:t>varying from 10 to 16 persons</w:t>
      </w:r>
      <w:r w:rsidR="00614418">
        <w:rPr>
          <w:rFonts w:ascii="Times New Roman" w:hAnsi="Times New Roman" w:cs="Times New Roman"/>
          <w:sz w:val="24"/>
          <w:szCs w:val="24"/>
          <w:lang w:val="en-US"/>
        </w:rPr>
        <w:t xml:space="preserve"> present</w:t>
      </w:r>
      <w:r w:rsidR="00D76731">
        <w:rPr>
          <w:rFonts w:ascii="Times New Roman" w:hAnsi="Times New Roman" w:cs="Times New Roman"/>
          <w:sz w:val="24"/>
          <w:szCs w:val="24"/>
          <w:lang w:val="en-US"/>
        </w:rPr>
        <w:t xml:space="preserve">. </w:t>
      </w:r>
      <w:r w:rsidR="00614418">
        <w:rPr>
          <w:rFonts w:ascii="Times New Roman" w:hAnsi="Times New Roman" w:cs="Times New Roman"/>
          <w:sz w:val="24"/>
          <w:szCs w:val="24"/>
          <w:lang w:val="en-US"/>
        </w:rPr>
        <w:t>First the ACQA framework and the ACQA methodology were presented. Then the completeness of the framework was discussed. Finally competence profiles were discussed, based on stakeholders’ experiences in the professional world.</w:t>
      </w:r>
    </w:p>
    <w:p w:rsidR="00E81551" w:rsidRDefault="00614418" w:rsidP="00D76731">
      <w:pPr>
        <w:pStyle w:val="ListParagraph"/>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Both graduates and employers</w:t>
      </w:r>
      <w:r w:rsidR="00BD0A1D" w:rsidRPr="00D76731">
        <w:rPr>
          <w:rFonts w:ascii="Times New Roman" w:hAnsi="Times New Roman" w:cs="Times New Roman"/>
          <w:sz w:val="24"/>
          <w:szCs w:val="24"/>
          <w:lang w:val="en-US"/>
        </w:rPr>
        <w:t xml:space="preserve"> described the framework as comprehensible and very useful for study </w:t>
      </w:r>
      <w:proofErr w:type="spellStart"/>
      <w:r w:rsidR="00BD0A1D" w:rsidRPr="00D76731">
        <w:rPr>
          <w:rFonts w:ascii="Times New Roman" w:hAnsi="Times New Roman" w:cs="Times New Roman"/>
          <w:sz w:val="24"/>
          <w:szCs w:val="24"/>
          <w:lang w:val="en-US"/>
        </w:rPr>
        <w:t>programme</w:t>
      </w:r>
      <w:proofErr w:type="spellEnd"/>
      <w:r w:rsidR="00BD0A1D" w:rsidRPr="00D76731">
        <w:rPr>
          <w:rFonts w:ascii="Times New Roman" w:hAnsi="Times New Roman" w:cs="Times New Roman"/>
          <w:sz w:val="24"/>
          <w:szCs w:val="24"/>
          <w:lang w:val="en-US"/>
        </w:rPr>
        <w:t xml:space="preserve"> outcome related discussions.</w:t>
      </w:r>
      <w:r>
        <w:rPr>
          <w:rFonts w:ascii="Times New Roman" w:hAnsi="Times New Roman" w:cs="Times New Roman"/>
          <w:sz w:val="24"/>
          <w:szCs w:val="24"/>
          <w:lang w:val="en-US"/>
        </w:rPr>
        <w:t xml:space="preserve"> Concrete suggestions for further competence development in the study </w:t>
      </w:r>
      <w:proofErr w:type="spellStart"/>
      <w:r>
        <w:rPr>
          <w:rFonts w:ascii="Times New Roman" w:hAnsi="Times New Roman" w:cs="Times New Roman"/>
          <w:sz w:val="24"/>
          <w:szCs w:val="24"/>
          <w:lang w:val="en-US"/>
        </w:rPr>
        <w:t>programmes</w:t>
      </w:r>
      <w:proofErr w:type="spellEnd"/>
      <w:r>
        <w:rPr>
          <w:rFonts w:ascii="Times New Roman" w:hAnsi="Times New Roman" w:cs="Times New Roman"/>
          <w:sz w:val="24"/>
          <w:szCs w:val="24"/>
          <w:lang w:val="en-US"/>
        </w:rPr>
        <w:t xml:space="preserve"> were formulated.</w:t>
      </w:r>
    </w:p>
    <w:p w:rsidR="00614418" w:rsidRDefault="00614418" w:rsidP="00D76731">
      <w:pPr>
        <w:pStyle w:val="ListParagraph"/>
        <w:spacing w:after="120" w:line="240" w:lineRule="auto"/>
        <w:jc w:val="both"/>
        <w:rPr>
          <w:rFonts w:ascii="Times New Roman" w:hAnsi="Times New Roman" w:cs="Times New Roman"/>
          <w:sz w:val="24"/>
          <w:szCs w:val="24"/>
          <w:lang w:val="en-US"/>
        </w:rPr>
      </w:pPr>
    </w:p>
    <w:p w:rsidR="00614418" w:rsidRPr="00614418" w:rsidRDefault="00967A97" w:rsidP="00614418">
      <w:pPr>
        <w:pStyle w:val="ListParagraph"/>
        <w:numPr>
          <w:ilvl w:val="0"/>
          <w:numId w:val="4"/>
        </w:num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 only the resulting</w:t>
      </w:r>
      <w:r w:rsidR="00F617C4">
        <w:rPr>
          <w:rFonts w:ascii="Times New Roman" w:hAnsi="Times New Roman" w:cs="Times New Roman"/>
          <w:sz w:val="24"/>
          <w:szCs w:val="24"/>
          <w:lang w:val="en-US"/>
        </w:rPr>
        <w:t xml:space="preserve"> competence profiles, but a</w:t>
      </w:r>
      <w:r w:rsidR="00842CF9">
        <w:rPr>
          <w:rFonts w:ascii="Times New Roman" w:hAnsi="Times New Roman" w:cs="Times New Roman"/>
          <w:sz w:val="24"/>
          <w:szCs w:val="24"/>
          <w:lang w:val="en-US"/>
        </w:rPr>
        <w:t>lso the framework itself was experienced to be extremely useful in the context of self-asse</w:t>
      </w:r>
      <w:r w:rsidR="00CD3F16">
        <w:rPr>
          <w:rFonts w:ascii="Times New Roman" w:hAnsi="Times New Roman" w:cs="Times New Roman"/>
          <w:sz w:val="24"/>
          <w:szCs w:val="24"/>
          <w:lang w:val="en-US"/>
        </w:rPr>
        <w:t>ssment procedures and accreditation</w:t>
      </w:r>
      <w:r w:rsidR="00842CF9">
        <w:rPr>
          <w:rFonts w:ascii="Times New Roman" w:hAnsi="Times New Roman" w:cs="Times New Roman"/>
          <w:sz w:val="24"/>
          <w:szCs w:val="24"/>
          <w:lang w:val="en-US"/>
        </w:rPr>
        <w:t xml:space="preserve"> visits, providing a standard language for all actors involved. Having a </w:t>
      </w:r>
      <w:r w:rsidR="00842CF9" w:rsidRPr="00842CF9">
        <w:rPr>
          <w:rFonts w:ascii="Times New Roman" w:hAnsi="Times New Roman" w:cs="Times New Roman"/>
          <w:i/>
          <w:sz w:val="24"/>
          <w:szCs w:val="24"/>
          <w:lang w:val="en-US"/>
        </w:rPr>
        <w:t>common language</w:t>
      </w:r>
      <w:r w:rsidR="00842CF9">
        <w:rPr>
          <w:rFonts w:ascii="Times New Roman" w:hAnsi="Times New Roman" w:cs="Times New Roman"/>
          <w:sz w:val="24"/>
          <w:szCs w:val="24"/>
          <w:lang w:val="en-US"/>
        </w:rPr>
        <w:t xml:space="preserve">, lecturers were able to discuss more efficiently on </w:t>
      </w:r>
      <w:r w:rsidR="00842CF9">
        <w:rPr>
          <w:rFonts w:ascii="Times New Roman" w:hAnsi="Times New Roman" w:cs="Times New Roman"/>
          <w:sz w:val="24"/>
          <w:szCs w:val="24"/>
          <w:lang w:val="en-US"/>
        </w:rPr>
        <w:lastRenderedPageBreak/>
        <w:t xml:space="preserve">study </w:t>
      </w:r>
      <w:proofErr w:type="spellStart"/>
      <w:r w:rsidR="00842CF9">
        <w:rPr>
          <w:rFonts w:ascii="Times New Roman" w:hAnsi="Times New Roman" w:cs="Times New Roman"/>
          <w:sz w:val="24"/>
          <w:szCs w:val="24"/>
          <w:lang w:val="en-US"/>
        </w:rPr>
        <w:t>programme</w:t>
      </w:r>
      <w:proofErr w:type="spellEnd"/>
      <w:r w:rsidR="00842CF9">
        <w:rPr>
          <w:rFonts w:ascii="Times New Roman" w:hAnsi="Times New Roman" w:cs="Times New Roman"/>
          <w:sz w:val="24"/>
          <w:szCs w:val="24"/>
          <w:lang w:val="en-US"/>
        </w:rPr>
        <w:t xml:space="preserve"> competence related topics. As such, all actors were also able to express themselves more precisely towards the accreditation visiting committee</w:t>
      </w:r>
      <w:r w:rsidR="00CD3F16">
        <w:rPr>
          <w:rFonts w:ascii="Times New Roman" w:hAnsi="Times New Roman" w:cs="Times New Roman"/>
          <w:sz w:val="24"/>
          <w:szCs w:val="24"/>
          <w:lang w:val="en-US"/>
        </w:rPr>
        <w:t xml:space="preserve"> when </w:t>
      </w:r>
      <w:r w:rsidR="00927023">
        <w:rPr>
          <w:rFonts w:ascii="Times New Roman" w:hAnsi="Times New Roman" w:cs="Times New Roman"/>
          <w:sz w:val="24"/>
          <w:szCs w:val="24"/>
          <w:lang w:val="en-US"/>
        </w:rPr>
        <w:t xml:space="preserve">discussing study </w:t>
      </w:r>
      <w:proofErr w:type="spellStart"/>
      <w:r w:rsidR="00927023">
        <w:rPr>
          <w:rFonts w:ascii="Times New Roman" w:hAnsi="Times New Roman" w:cs="Times New Roman"/>
          <w:sz w:val="24"/>
          <w:szCs w:val="24"/>
          <w:lang w:val="en-US"/>
        </w:rPr>
        <w:t>programme</w:t>
      </w:r>
      <w:proofErr w:type="spellEnd"/>
      <w:r w:rsidR="00927023">
        <w:rPr>
          <w:rFonts w:ascii="Times New Roman" w:hAnsi="Times New Roman" w:cs="Times New Roman"/>
          <w:sz w:val="24"/>
          <w:szCs w:val="24"/>
          <w:lang w:val="en-US"/>
        </w:rPr>
        <w:t xml:space="preserve"> objectives and outcomes.</w:t>
      </w:r>
    </w:p>
    <w:p w:rsidR="00F338E0" w:rsidRPr="00F338E0" w:rsidRDefault="00F338E0" w:rsidP="00F338E0">
      <w:pPr>
        <w:spacing w:after="120" w:line="240" w:lineRule="auto"/>
        <w:jc w:val="both"/>
        <w:rPr>
          <w:rFonts w:ascii="Times New Roman" w:hAnsi="Times New Roman" w:cs="Times New Roman"/>
          <w:b/>
          <w:sz w:val="28"/>
          <w:szCs w:val="28"/>
          <w:lang w:val="en-US"/>
        </w:rPr>
      </w:pPr>
    </w:p>
    <w:p w:rsidR="009516A4" w:rsidRDefault="007C52A5" w:rsidP="009C5C73">
      <w:pPr>
        <w:pStyle w:val="ListParagraph"/>
        <w:numPr>
          <w:ilvl w:val="0"/>
          <w:numId w:val="1"/>
        </w:numPr>
        <w:spacing w:after="120" w:line="240" w:lineRule="auto"/>
        <w:ind w:left="357" w:hanging="357"/>
        <w:jc w:val="both"/>
        <w:rPr>
          <w:rFonts w:ascii="Times New Roman" w:hAnsi="Times New Roman" w:cs="Times New Roman"/>
          <w:b/>
          <w:sz w:val="28"/>
          <w:szCs w:val="28"/>
          <w:lang w:val="en-US"/>
        </w:rPr>
      </w:pPr>
      <w:r>
        <w:rPr>
          <w:rFonts w:ascii="Times New Roman" w:hAnsi="Times New Roman" w:cs="Times New Roman"/>
          <w:b/>
          <w:sz w:val="28"/>
          <w:szCs w:val="28"/>
          <w:lang w:val="en-US"/>
        </w:rPr>
        <w:t>C</w:t>
      </w:r>
      <w:r w:rsidR="009516A4">
        <w:rPr>
          <w:rFonts w:ascii="Times New Roman" w:hAnsi="Times New Roman" w:cs="Times New Roman"/>
          <w:b/>
          <w:sz w:val="28"/>
          <w:szCs w:val="28"/>
          <w:lang w:val="en-US"/>
        </w:rPr>
        <w:t>on</w:t>
      </w:r>
      <w:r w:rsidR="00A865AF">
        <w:rPr>
          <w:rFonts w:ascii="Times New Roman" w:hAnsi="Times New Roman" w:cs="Times New Roman"/>
          <w:b/>
          <w:sz w:val="28"/>
          <w:szCs w:val="28"/>
          <w:lang w:val="en-US"/>
        </w:rPr>
        <w:t>c</w:t>
      </w:r>
      <w:r w:rsidR="00C00AC4">
        <w:rPr>
          <w:rFonts w:ascii="Times New Roman" w:hAnsi="Times New Roman" w:cs="Times New Roman"/>
          <w:b/>
          <w:sz w:val="28"/>
          <w:szCs w:val="28"/>
          <w:lang w:val="en-US"/>
        </w:rPr>
        <w:t>lusion</w:t>
      </w:r>
      <w:r>
        <w:rPr>
          <w:rFonts w:ascii="Times New Roman" w:hAnsi="Times New Roman" w:cs="Times New Roman"/>
          <w:b/>
          <w:sz w:val="28"/>
          <w:szCs w:val="28"/>
          <w:lang w:val="en-US"/>
        </w:rPr>
        <w:t>s</w:t>
      </w:r>
    </w:p>
    <w:p w:rsidR="00BD0A1D" w:rsidRDefault="004F0AFA" w:rsidP="004F0AFA">
      <w:pPr>
        <w:spacing w:after="120" w:line="240" w:lineRule="auto"/>
        <w:jc w:val="both"/>
        <w:rPr>
          <w:rFonts w:ascii="Times New Roman" w:hAnsi="Times New Roman" w:cs="Times New Roman"/>
          <w:sz w:val="24"/>
          <w:szCs w:val="24"/>
          <w:lang w:val="en-US"/>
        </w:rPr>
      </w:pPr>
      <w:r w:rsidRPr="004F0AFA">
        <w:rPr>
          <w:rFonts w:ascii="Times New Roman" w:hAnsi="Times New Roman" w:cs="Times New Roman"/>
          <w:sz w:val="24"/>
          <w:szCs w:val="24"/>
          <w:lang w:val="en-US"/>
        </w:rPr>
        <w:t>At the</w:t>
      </w:r>
      <w:r w:rsidR="00933298">
        <w:rPr>
          <w:rFonts w:ascii="Times New Roman" w:hAnsi="Times New Roman" w:cs="Times New Roman"/>
          <w:sz w:val="24"/>
          <w:szCs w:val="24"/>
          <w:lang w:val="en-US"/>
        </w:rPr>
        <w:t xml:space="preserve"> Faculty of Engineering Science at </w:t>
      </w:r>
      <w:r w:rsidRPr="004F0AFA">
        <w:rPr>
          <w:rFonts w:ascii="Times New Roman" w:hAnsi="Times New Roman" w:cs="Times New Roman"/>
          <w:sz w:val="24"/>
          <w:szCs w:val="24"/>
          <w:lang w:val="en-US"/>
        </w:rPr>
        <w:t xml:space="preserve">KU Leuven, </w:t>
      </w:r>
      <w:r w:rsidR="00933298">
        <w:rPr>
          <w:rFonts w:ascii="Times New Roman" w:hAnsi="Times New Roman" w:cs="Times New Roman"/>
          <w:sz w:val="24"/>
          <w:szCs w:val="24"/>
          <w:lang w:val="en-US"/>
        </w:rPr>
        <w:t>ACQA based learning outcome</w:t>
      </w:r>
      <w:r w:rsidRPr="004F0AFA">
        <w:rPr>
          <w:rFonts w:ascii="Times New Roman" w:hAnsi="Times New Roman" w:cs="Times New Roman"/>
          <w:sz w:val="24"/>
          <w:szCs w:val="24"/>
          <w:lang w:val="en-US"/>
        </w:rPr>
        <w:t xml:space="preserve"> evaluation of study</w:t>
      </w:r>
      <w:r w:rsidRPr="004F0AFA">
        <w:rPr>
          <w:rFonts w:ascii="Times New Roman" w:hAnsi="Times New Roman" w:cs="Times New Roman"/>
          <w:sz w:val="24"/>
          <w:szCs w:val="24"/>
          <w:lang w:val="en-GB"/>
        </w:rPr>
        <w:t xml:space="preserve"> programmes</w:t>
      </w:r>
      <w:r w:rsidRPr="004F0AFA">
        <w:rPr>
          <w:rFonts w:ascii="Times New Roman" w:hAnsi="Times New Roman" w:cs="Times New Roman"/>
          <w:sz w:val="24"/>
          <w:szCs w:val="24"/>
          <w:lang w:val="en-US"/>
        </w:rPr>
        <w:t xml:space="preserve"> has been done for more than three years now. </w:t>
      </w:r>
      <w:r w:rsidR="00BD0A1D">
        <w:rPr>
          <w:rFonts w:ascii="Times New Roman" w:hAnsi="Times New Roman" w:cs="Times New Roman"/>
          <w:sz w:val="24"/>
          <w:szCs w:val="24"/>
          <w:lang w:val="en-US"/>
        </w:rPr>
        <w:t>Resulting competence pr</w:t>
      </w:r>
      <w:r w:rsidR="00933298">
        <w:rPr>
          <w:rFonts w:ascii="Times New Roman" w:hAnsi="Times New Roman" w:cs="Times New Roman"/>
          <w:sz w:val="24"/>
          <w:szCs w:val="24"/>
          <w:lang w:val="en-US"/>
        </w:rPr>
        <w:t>ofiles have been actively used for self-assessment reports</w:t>
      </w:r>
      <w:r w:rsidR="00CD3F16">
        <w:rPr>
          <w:rFonts w:ascii="Times New Roman" w:hAnsi="Times New Roman" w:cs="Times New Roman"/>
          <w:sz w:val="24"/>
          <w:szCs w:val="24"/>
          <w:lang w:val="en-US"/>
        </w:rPr>
        <w:t>.</w:t>
      </w:r>
      <w:r w:rsidR="00DE7A47">
        <w:rPr>
          <w:rFonts w:ascii="Times New Roman" w:hAnsi="Times New Roman" w:cs="Times New Roman"/>
          <w:sz w:val="24"/>
          <w:szCs w:val="24"/>
          <w:lang w:val="en-US"/>
        </w:rPr>
        <w:t xml:space="preserve"> After a critical evaluation, all actors involved confirmed their support for further implementation of ACQA in self-assessment procedures. T</w:t>
      </w:r>
      <w:r w:rsidR="0083189A">
        <w:rPr>
          <w:rFonts w:ascii="Times New Roman" w:hAnsi="Times New Roman" w:cs="Times New Roman"/>
          <w:sz w:val="24"/>
          <w:szCs w:val="24"/>
          <w:lang w:val="en-US"/>
        </w:rPr>
        <w:t xml:space="preserve">heir main argument was the significant </w:t>
      </w:r>
      <w:r w:rsidR="00DE7A47">
        <w:rPr>
          <w:rFonts w:ascii="Times New Roman" w:hAnsi="Times New Roman" w:cs="Times New Roman"/>
          <w:sz w:val="24"/>
          <w:szCs w:val="24"/>
          <w:lang w:val="en-US"/>
        </w:rPr>
        <w:t xml:space="preserve">enhancement of the quality of the discussions during the self-assessment </w:t>
      </w:r>
      <w:r w:rsidR="0083189A">
        <w:rPr>
          <w:rFonts w:ascii="Times New Roman" w:hAnsi="Times New Roman" w:cs="Times New Roman"/>
          <w:sz w:val="24"/>
          <w:szCs w:val="24"/>
          <w:lang w:val="en-US"/>
        </w:rPr>
        <w:t>process, mainly due to the common language available</w:t>
      </w:r>
      <w:r w:rsidR="00DE7A47">
        <w:rPr>
          <w:rFonts w:ascii="Times New Roman" w:hAnsi="Times New Roman" w:cs="Times New Roman"/>
          <w:sz w:val="24"/>
          <w:szCs w:val="24"/>
          <w:lang w:val="en-US"/>
        </w:rPr>
        <w:t xml:space="preserve"> </w:t>
      </w:r>
      <w:r w:rsidR="0083189A">
        <w:rPr>
          <w:rFonts w:ascii="Times New Roman" w:hAnsi="Times New Roman" w:cs="Times New Roman"/>
          <w:sz w:val="24"/>
          <w:szCs w:val="24"/>
          <w:lang w:val="en-US"/>
        </w:rPr>
        <w:t>and to the quantitative based competence profiles generated.</w:t>
      </w:r>
      <w:r w:rsidR="00CD3F16">
        <w:rPr>
          <w:rFonts w:ascii="Times New Roman" w:hAnsi="Times New Roman" w:cs="Times New Roman"/>
          <w:sz w:val="24"/>
          <w:szCs w:val="24"/>
          <w:lang w:val="en-US"/>
        </w:rPr>
        <w:t xml:space="preserve"> R</w:t>
      </w:r>
      <w:r w:rsidR="00933298">
        <w:rPr>
          <w:rFonts w:ascii="Times New Roman" w:hAnsi="Times New Roman" w:cs="Times New Roman"/>
          <w:sz w:val="24"/>
          <w:szCs w:val="24"/>
          <w:lang w:val="en-US"/>
        </w:rPr>
        <w:t>ecent visitation commissions expressed their explicit support for the further use of ACQA competence profiles within self-assessment reports and quality assurance in general.</w:t>
      </w:r>
    </w:p>
    <w:p w:rsidR="004F0AFA" w:rsidRPr="004F0AFA" w:rsidRDefault="004F0AFA" w:rsidP="004F0AFA">
      <w:pPr>
        <w:spacing w:after="120" w:line="240" w:lineRule="auto"/>
        <w:jc w:val="both"/>
        <w:rPr>
          <w:rFonts w:ascii="Times New Roman" w:hAnsi="Times New Roman" w:cs="Times New Roman"/>
          <w:sz w:val="24"/>
          <w:szCs w:val="24"/>
          <w:lang w:val="en-US"/>
        </w:rPr>
      </w:pPr>
      <w:r w:rsidRPr="004F0AFA">
        <w:rPr>
          <w:rFonts w:ascii="Times New Roman" w:hAnsi="Times New Roman" w:cs="Times New Roman"/>
          <w:sz w:val="24"/>
          <w:szCs w:val="24"/>
          <w:lang w:val="en-US"/>
        </w:rPr>
        <w:t xml:space="preserve">It is </w:t>
      </w:r>
      <w:r w:rsidR="007D69B7">
        <w:rPr>
          <w:rFonts w:ascii="Times New Roman" w:hAnsi="Times New Roman" w:cs="Times New Roman"/>
          <w:sz w:val="24"/>
          <w:szCs w:val="24"/>
          <w:lang w:val="en-US"/>
        </w:rPr>
        <w:t xml:space="preserve">important to notice that all </w:t>
      </w:r>
      <w:r w:rsidRPr="004F0AFA">
        <w:rPr>
          <w:rFonts w:ascii="Times New Roman" w:hAnsi="Times New Roman" w:cs="Times New Roman"/>
          <w:sz w:val="24"/>
          <w:szCs w:val="24"/>
          <w:lang w:val="en-US"/>
        </w:rPr>
        <w:t xml:space="preserve">competence profiles </w:t>
      </w:r>
      <w:r w:rsidR="007D69B7">
        <w:rPr>
          <w:rFonts w:ascii="Times New Roman" w:hAnsi="Times New Roman" w:cs="Times New Roman"/>
          <w:sz w:val="24"/>
          <w:szCs w:val="24"/>
          <w:lang w:val="en-US"/>
        </w:rPr>
        <w:t>generated until now,</w:t>
      </w:r>
      <w:r w:rsidRPr="004F0AFA">
        <w:rPr>
          <w:rFonts w:ascii="Times New Roman" w:hAnsi="Times New Roman" w:cs="Times New Roman"/>
          <w:sz w:val="24"/>
          <w:szCs w:val="24"/>
          <w:lang w:val="en-US"/>
        </w:rPr>
        <w:t xml:space="preserve"> are the result of the accumulation of competences intended by the lecturers. </w:t>
      </w:r>
      <w:r w:rsidR="002D168F">
        <w:rPr>
          <w:rFonts w:ascii="Times New Roman" w:hAnsi="Times New Roman" w:cs="Times New Roman"/>
          <w:sz w:val="24"/>
          <w:szCs w:val="24"/>
          <w:lang w:val="en-US"/>
        </w:rPr>
        <w:t xml:space="preserve">Educational committees are very aware that for further fine-tuning of the use of ACQA competence profiles, </w:t>
      </w:r>
      <w:r w:rsidR="00C44057">
        <w:rPr>
          <w:rFonts w:ascii="Times New Roman" w:hAnsi="Times New Roman" w:cs="Times New Roman"/>
          <w:sz w:val="24"/>
          <w:szCs w:val="24"/>
          <w:lang w:val="en-US"/>
        </w:rPr>
        <w:t xml:space="preserve">also </w:t>
      </w:r>
      <w:r w:rsidR="002D168F">
        <w:rPr>
          <w:rFonts w:ascii="Times New Roman" w:hAnsi="Times New Roman" w:cs="Times New Roman"/>
          <w:sz w:val="24"/>
          <w:szCs w:val="24"/>
          <w:lang w:val="en-US"/>
        </w:rPr>
        <w:t xml:space="preserve">graduates’ and employers’ visions should be </w:t>
      </w:r>
      <w:r w:rsidR="00C44057">
        <w:rPr>
          <w:rFonts w:ascii="Times New Roman" w:hAnsi="Times New Roman" w:cs="Times New Roman"/>
          <w:sz w:val="24"/>
          <w:szCs w:val="24"/>
          <w:lang w:val="en-US"/>
        </w:rPr>
        <w:t>approached in a more quantitative way.</w:t>
      </w:r>
    </w:p>
    <w:p w:rsidR="001B5998" w:rsidRPr="004F0AFA" w:rsidRDefault="001B5998" w:rsidP="004F0AFA">
      <w:pPr>
        <w:spacing w:after="120" w:line="240" w:lineRule="auto"/>
        <w:jc w:val="both"/>
        <w:rPr>
          <w:rFonts w:ascii="Times New Roman" w:hAnsi="Times New Roman" w:cs="Times New Roman"/>
          <w:b/>
          <w:sz w:val="28"/>
          <w:szCs w:val="28"/>
          <w:lang w:val="en-US"/>
        </w:rPr>
      </w:pPr>
    </w:p>
    <w:p w:rsidR="004F0AFA" w:rsidRDefault="00065D67" w:rsidP="009C5C73">
      <w:pPr>
        <w:pStyle w:val="ListParagraph"/>
        <w:numPr>
          <w:ilvl w:val="0"/>
          <w:numId w:val="1"/>
        </w:numPr>
        <w:spacing w:after="120" w:line="240" w:lineRule="auto"/>
        <w:ind w:left="357" w:hanging="357"/>
        <w:jc w:val="both"/>
        <w:rPr>
          <w:rFonts w:ascii="Times New Roman" w:hAnsi="Times New Roman" w:cs="Times New Roman"/>
          <w:b/>
          <w:sz w:val="28"/>
          <w:szCs w:val="28"/>
          <w:lang w:val="en-US"/>
        </w:rPr>
      </w:pPr>
      <w:r>
        <w:rPr>
          <w:rFonts w:ascii="Times New Roman" w:hAnsi="Times New Roman" w:cs="Times New Roman"/>
          <w:b/>
          <w:sz w:val="28"/>
          <w:szCs w:val="28"/>
          <w:lang w:val="en-US"/>
        </w:rPr>
        <w:t>Acknowledgement</w:t>
      </w:r>
    </w:p>
    <w:p w:rsidR="004F0AFA" w:rsidRPr="001B5998" w:rsidRDefault="00065D67" w:rsidP="0025366B">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work was supported by KU Leuven (Educational project OWP 2008/7: “</w:t>
      </w:r>
      <w:r w:rsidR="0025366B" w:rsidRPr="0025366B">
        <w:rPr>
          <w:rFonts w:ascii="Times New Roman" w:hAnsi="Times New Roman" w:cs="Times New Roman"/>
          <w:sz w:val="24"/>
          <w:szCs w:val="24"/>
          <w:lang w:val="en-US"/>
        </w:rPr>
        <w:t>Profiles of academic engineering curricula of the Group of Science and Technology</w:t>
      </w:r>
      <w:r w:rsidR="0025366B">
        <w:rPr>
          <w:rFonts w:ascii="Times New Roman" w:hAnsi="Times New Roman" w:cs="Times New Roman"/>
          <w:sz w:val="24"/>
          <w:szCs w:val="24"/>
          <w:lang w:val="en-US"/>
        </w:rPr>
        <w:t>”). The authors gratefully acknowledge the members of the steering committee of this educational project (</w:t>
      </w:r>
      <w:r w:rsidR="000042E1">
        <w:rPr>
          <w:rFonts w:ascii="Times New Roman" w:hAnsi="Times New Roman" w:cs="Times New Roman"/>
          <w:sz w:val="24"/>
          <w:szCs w:val="24"/>
          <w:lang w:val="en-US"/>
        </w:rPr>
        <w:t>Marie-</w:t>
      </w:r>
      <w:proofErr w:type="spellStart"/>
      <w:r w:rsidR="000042E1">
        <w:rPr>
          <w:rFonts w:ascii="Times New Roman" w:hAnsi="Times New Roman" w:cs="Times New Roman"/>
          <w:sz w:val="24"/>
          <w:szCs w:val="24"/>
          <w:lang w:val="en-US"/>
        </w:rPr>
        <w:t>Paule</w:t>
      </w:r>
      <w:proofErr w:type="spellEnd"/>
      <w:r w:rsidR="000042E1">
        <w:rPr>
          <w:rFonts w:ascii="Times New Roman" w:hAnsi="Times New Roman" w:cs="Times New Roman"/>
          <w:sz w:val="24"/>
          <w:szCs w:val="24"/>
          <w:lang w:val="en-US"/>
        </w:rPr>
        <w:t xml:space="preserve"> </w:t>
      </w:r>
      <w:proofErr w:type="spellStart"/>
      <w:r w:rsidR="000042E1">
        <w:rPr>
          <w:rFonts w:ascii="Times New Roman" w:hAnsi="Times New Roman" w:cs="Times New Roman"/>
          <w:sz w:val="24"/>
          <w:szCs w:val="24"/>
          <w:lang w:val="en-US"/>
        </w:rPr>
        <w:t>Buyse</w:t>
      </w:r>
      <w:proofErr w:type="spellEnd"/>
      <w:r w:rsidR="000042E1">
        <w:rPr>
          <w:rFonts w:ascii="Times New Roman" w:hAnsi="Times New Roman" w:cs="Times New Roman"/>
          <w:sz w:val="24"/>
          <w:szCs w:val="24"/>
          <w:lang w:val="en-US"/>
        </w:rPr>
        <w:t xml:space="preserve">, </w:t>
      </w:r>
      <w:r w:rsidR="0025366B">
        <w:rPr>
          <w:rFonts w:ascii="Times New Roman" w:hAnsi="Times New Roman" w:cs="Times New Roman"/>
          <w:sz w:val="24"/>
          <w:szCs w:val="24"/>
          <w:lang w:val="en-US"/>
        </w:rPr>
        <w:t xml:space="preserve">Bart </w:t>
      </w:r>
      <w:proofErr w:type="spellStart"/>
      <w:r w:rsidR="0025366B">
        <w:rPr>
          <w:rFonts w:ascii="Times New Roman" w:hAnsi="Times New Roman" w:cs="Times New Roman"/>
          <w:sz w:val="24"/>
          <w:szCs w:val="24"/>
          <w:lang w:val="en-US"/>
        </w:rPr>
        <w:t>Nauwelaers</w:t>
      </w:r>
      <w:proofErr w:type="spellEnd"/>
      <w:r w:rsidR="0025366B">
        <w:rPr>
          <w:rFonts w:ascii="Times New Roman" w:hAnsi="Times New Roman" w:cs="Times New Roman"/>
          <w:sz w:val="24"/>
          <w:szCs w:val="24"/>
          <w:lang w:val="en-US"/>
        </w:rPr>
        <w:t xml:space="preserve">, Dirk Vandepitte: Faculty of Engineering </w:t>
      </w:r>
      <w:r w:rsidR="000042E1">
        <w:rPr>
          <w:rFonts w:ascii="Times New Roman" w:hAnsi="Times New Roman" w:cs="Times New Roman"/>
          <w:sz w:val="24"/>
          <w:szCs w:val="24"/>
          <w:lang w:val="en-US"/>
        </w:rPr>
        <w:t xml:space="preserve">Science; Maurice De </w:t>
      </w:r>
      <w:proofErr w:type="spellStart"/>
      <w:r w:rsidR="000042E1">
        <w:rPr>
          <w:rFonts w:ascii="Times New Roman" w:hAnsi="Times New Roman" w:cs="Times New Roman"/>
          <w:sz w:val="24"/>
          <w:szCs w:val="24"/>
          <w:lang w:val="en-US"/>
        </w:rPr>
        <w:t>Proft</w:t>
      </w:r>
      <w:proofErr w:type="spellEnd"/>
      <w:r w:rsidR="000042E1">
        <w:rPr>
          <w:rFonts w:ascii="Times New Roman" w:hAnsi="Times New Roman" w:cs="Times New Roman"/>
          <w:sz w:val="24"/>
          <w:szCs w:val="24"/>
          <w:lang w:val="en-US"/>
        </w:rPr>
        <w:t xml:space="preserve">, Chris </w:t>
      </w:r>
      <w:proofErr w:type="spellStart"/>
      <w:r w:rsidR="000042E1">
        <w:rPr>
          <w:rFonts w:ascii="Times New Roman" w:hAnsi="Times New Roman" w:cs="Times New Roman"/>
          <w:sz w:val="24"/>
          <w:szCs w:val="24"/>
          <w:lang w:val="en-US"/>
        </w:rPr>
        <w:t>Michiels</w:t>
      </w:r>
      <w:proofErr w:type="spellEnd"/>
      <w:r w:rsidR="000042E1">
        <w:rPr>
          <w:rFonts w:ascii="Times New Roman" w:hAnsi="Times New Roman" w:cs="Times New Roman"/>
          <w:sz w:val="24"/>
          <w:szCs w:val="24"/>
          <w:lang w:val="en-US"/>
        </w:rPr>
        <w:t xml:space="preserve">, Christine Peeters: Faculty of Bioscience Engineering; </w:t>
      </w:r>
      <w:r w:rsidR="001B5998">
        <w:rPr>
          <w:rFonts w:ascii="Times New Roman" w:hAnsi="Times New Roman" w:cs="Times New Roman"/>
          <w:sz w:val="24"/>
          <w:szCs w:val="24"/>
          <w:lang w:val="en-US"/>
        </w:rPr>
        <w:t xml:space="preserve">Alexandra </w:t>
      </w:r>
      <w:proofErr w:type="spellStart"/>
      <w:r w:rsidR="001B5998">
        <w:rPr>
          <w:rFonts w:ascii="Times New Roman" w:hAnsi="Times New Roman" w:cs="Times New Roman"/>
          <w:sz w:val="24"/>
          <w:szCs w:val="24"/>
          <w:lang w:val="en-US"/>
        </w:rPr>
        <w:t>Verhagen</w:t>
      </w:r>
      <w:proofErr w:type="spellEnd"/>
      <w:r w:rsidR="001B5998">
        <w:rPr>
          <w:rFonts w:ascii="Times New Roman" w:hAnsi="Times New Roman" w:cs="Times New Roman"/>
          <w:sz w:val="24"/>
          <w:szCs w:val="24"/>
          <w:lang w:val="en-US"/>
        </w:rPr>
        <w:t>: Educational Support Office). The</w:t>
      </w:r>
      <w:r w:rsidRPr="0025366B">
        <w:rPr>
          <w:rFonts w:ascii="Times New Roman" w:hAnsi="Times New Roman" w:cs="Times New Roman"/>
          <w:sz w:val="24"/>
          <w:szCs w:val="24"/>
          <w:lang w:val="en-US"/>
        </w:rPr>
        <w:t xml:space="preserve"> </w:t>
      </w:r>
      <w:r w:rsidR="0025366B">
        <w:rPr>
          <w:rFonts w:ascii="Times New Roman" w:hAnsi="Times New Roman" w:cs="Times New Roman"/>
          <w:sz w:val="24"/>
          <w:szCs w:val="24"/>
          <w:lang w:val="en-US"/>
        </w:rPr>
        <w:t xml:space="preserve">authors </w:t>
      </w:r>
      <w:r w:rsidRPr="0025366B">
        <w:rPr>
          <w:rFonts w:ascii="Times New Roman" w:hAnsi="Times New Roman" w:cs="Times New Roman"/>
          <w:sz w:val="24"/>
          <w:szCs w:val="24"/>
          <w:lang w:val="en-US"/>
        </w:rPr>
        <w:t xml:space="preserve">also wish to thank the ACQA project group a TU/e for </w:t>
      </w:r>
      <w:r w:rsidR="0025366B">
        <w:rPr>
          <w:rFonts w:ascii="Times New Roman" w:hAnsi="Times New Roman" w:cs="Times New Roman"/>
          <w:sz w:val="24"/>
          <w:szCs w:val="24"/>
          <w:lang w:val="en-US"/>
        </w:rPr>
        <w:t xml:space="preserve">their professional assistance and their </w:t>
      </w:r>
      <w:r w:rsidRPr="0025366B">
        <w:rPr>
          <w:rFonts w:ascii="Times New Roman" w:hAnsi="Times New Roman" w:cs="Times New Roman"/>
          <w:sz w:val="24"/>
          <w:szCs w:val="24"/>
          <w:lang w:val="en-US"/>
        </w:rPr>
        <w:t>crucial advice.</w:t>
      </w:r>
    </w:p>
    <w:p w:rsidR="00C768B2" w:rsidRPr="00C768B2" w:rsidRDefault="00C768B2" w:rsidP="00C768B2">
      <w:pPr>
        <w:spacing w:after="120" w:line="240" w:lineRule="auto"/>
        <w:jc w:val="both"/>
        <w:rPr>
          <w:rFonts w:ascii="Times New Roman" w:hAnsi="Times New Roman" w:cs="Times New Roman"/>
          <w:b/>
          <w:sz w:val="28"/>
          <w:szCs w:val="28"/>
          <w:lang w:val="en-US"/>
        </w:rPr>
      </w:pPr>
    </w:p>
    <w:p w:rsidR="00C768B2" w:rsidRPr="00C768B2" w:rsidRDefault="00C768B2" w:rsidP="00C768B2">
      <w:pPr>
        <w:pStyle w:val="ListParagraph"/>
        <w:numPr>
          <w:ilvl w:val="0"/>
          <w:numId w:val="1"/>
        </w:numPr>
        <w:spacing w:after="120" w:line="240" w:lineRule="auto"/>
        <w:ind w:left="357" w:hanging="357"/>
        <w:jc w:val="both"/>
        <w:rPr>
          <w:rFonts w:ascii="Times New Roman" w:hAnsi="Times New Roman" w:cs="Times New Roman"/>
          <w:b/>
          <w:sz w:val="28"/>
          <w:szCs w:val="28"/>
          <w:lang w:val="en-US"/>
        </w:rPr>
      </w:pPr>
      <w:r>
        <w:rPr>
          <w:rFonts w:ascii="Times New Roman" w:hAnsi="Times New Roman" w:cs="Times New Roman"/>
          <w:b/>
          <w:sz w:val="28"/>
          <w:szCs w:val="28"/>
          <w:lang w:val="en-US"/>
        </w:rPr>
        <w:t>References</w:t>
      </w:r>
    </w:p>
    <w:p w:rsidR="009516A4" w:rsidRDefault="009516A4" w:rsidP="00AE5C10">
      <w:pPr>
        <w:spacing w:after="0" w:line="240" w:lineRule="auto"/>
        <w:jc w:val="both"/>
        <w:rPr>
          <w:rFonts w:ascii="Times New Roman" w:hAnsi="Times New Roman" w:cs="Times New Roman"/>
          <w:sz w:val="24"/>
          <w:szCs w:val="24"/>
          <w:lang w:val="en-US"/>
        </w:rPr>
      </w:pPr>
      <w:proofErr w:type="spellStart"/>
      <w:r w:rsidRPr="009516A4">
        <w:rPr>
          <w:rFonts w:ascii="Times New Roman" w:hAnsi="Times New Roman" w:cs="Times New Roman"/>
          <w:sz w:val="24"/>
          <w:szCs w:val="24"/>
          <w:lang w:val="en-US"/>
        </w:rPr>
        <w:t>Heiss</w:t>
      </w:r>
      <w:proofErr w:type="spellEnd"/>
      <w:r w:rsidRPr="009516A4">
        <w:rPr>
          <w:rFonts w:ascii="Times New Roman" w:hAnsi="Times New Roman" w:cs="Times New Roman"/>
          <w:sz w:val="24"/>
          <w:szCs w:val="24"/>
          <w:lang w:val="en-US"/>
        </w:rPr>
        <w:t xml:space="preserve"> H, </w:t>
      </w:r>
      <w:proofErr w:type="spellStart"/>
      <w:r w:rsidRPr="009516A4">
        <w:rPr>
          <w:rFonts w:ascii="Times New Roman" w:hAnsi="Times New Roman" w:cs="Times New Roman"/>
          <w:sz w:val="24"/>
          <w:szCs w:val="24"/>
          <w:lang w:val="en-US"/>
        </w:rPr>
        <w:t>Raue</w:t>
      </w:r>
      <w:proofErr w:type="spellEnd"/>
      <w:r w:rsidRPr="009516A4">
        <w:rPr>
          <w:rFonts w:ascii="Times New Roman" w:hAnsi="Times New Roman" w:cs="Times New Roman"/>
          <w:sz w:val="24"/>
          <w:szCs w:val="24"/>
          <w:lang w:val="en-US"/>
        </w:rPr>
        <w:t xml:space="preserve"> C, </w:t>
      </w:r>
      <w:r w:rsidRPr="009516A4">
        <w:rPr>
          <w:rFonts w:ascii="Times New Roman" w:hAnsi="Times New Roman" w:cs="Times New Roman"/>
          <w:b/>
          <w:sz w:val="24"/>
          <w:szCs w:val="24"/>
          <w:lang w:val="en-US"/>
        </w:rPr>
        <w:t>Outcome Analysis of Bachelor and Master Curricula in Electrical Engineering and  Computing</w:t>
      </w:r>
      <w:r>
        <w:rPr>
          <w:rFonts w:ascii="Times New Roman" w:hAnsi="Times New Roman" w:cs="Times New Roman"/>
          <w:sz w:val="24"/>
          <w:szCs w:val="24"/>
          <w:lang w:val="en-US"/>
        </w:rPr>
        <w:t xml:space="preserve">, </w:t>
      </w:r>
      <w:r w:rsidR="00C6187F">
        <w:rPr>
          <w:rFonts w:ascii="Times New Roman" w:hAnsi="Times New Roman" w:cs="Times New Roman"/>
          <w:sz w:val="24"/>
          <w:szCs w:val="24"/>
          <w:lang w:val="en-US"/>
        </w:rPr>
        <w:t>Proceedings of the 20</w:t>
      </w:r>
      <w:r w:rsidR="00C6187F" w:rsidRPr="00C6187F">
        <w:rPr>
          <w:rFonts w:ascii="Times New Roman" w:hAnsi="Times New Roman" w:cs="Times New Roman"/>
          <w:sz w:val="24"/>
          <w:szCs w:val="24"/>
          <w:vertAlign w:val="superscript"/>
          <w:lang w:val="en-US"/>
        </w:rPr>
        <w:t>th</w:t>
      </w:r>
      <w:r w:rsidR="00C6187F">
        <w:rPr>
          <w:rFonts w:ascii="Times New Roman" w:hAnsi="Times New Roman" w:cs="Times New Roman"/>
          <w:sz w:val="24"/>
          <w:szCs w:val="24"/>
          <w:lang w:val="en-US"/>
        </w:rPr>
        <w:t xml:space="preserve"> EAEEIE Annual Conference on Innovations in Education EIE, Valencia, 2009.</w:t>
      </w:r>
    </w:p>
    <w:p w:rsidR="002536E3" w:rsidRDefault="002536E3" w:rsidP="00AE5C10">
      <w:pPr>
        <w:spacing w:after="0" w:line="240" w:lineRule="auto"/>
        <w:jc w:val="both"/>
        <w:rPr>
          <w:rFonts w:ascii="Times New Roman" w:hAnsi="Times New Roman" w:cs="Times New Roman"/>
          <w:sz w:val="24"/>
          <w:szCs w:val="24"/>
          <w:lang w:val="en-US"/>
        </w:rPr>
      </w:pPr>
    </w:p>
    <w:p w:rsidR="00707E7A" w:rsidRDefault="00707E7A" w:rsidP="00AE5C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Heylen C, </w:t>
      </w:r>
      <w:r>
        <w:rPr>
          <w:rFonts w:ascii="Times New Roman" w:hAnsi="Times New Roman" w:cs="Times New Roman"/>
          <w:b/>
          <w:sz w:val="24"/>
          <w:szCs w:val="24"/>
          <w:lang w:val="en-US"/>
        </w:rPr>
        <w:t>Problems Solving and E</w:t>
      </w:r>
      <w:r w:rsidR="007B470B">
        <w:rPr>
          <w:rFonts w:ascii="Times New Roman" w:hAnsi="Times New Roman" w:cs="Times New Roman"/>
          <w:b/>
          <w:sz w:val="24"/>
          <w:szCs w:val="24"/>
          <w:lang w:val="en-US"/>
        </w:rPr>
        <w:t>n</w:t>
      </w:r>
      <w:r>
        <w:rPr>
          <w:rFonts w:ascii="Times New Roman" w:hAnsi="Times New Roman" w:cs="Times New Roman"/>
          <w:b/>
          <w:sz w:val="24"/>
          <w:szCs w:val="24"/>
          <w:lang w:val="en-US"/>
        </w:rPr>
        <w:t>gineering Design. Introducing Students to Engineering Practice</w:t>
      </w:r>
      <w:r>
        <w:rPr>
          <w:rFonts w:ascii="Times New Roman" w:hAnsi="Times New Roman" w:cs="Times New Roman"/>
          <w:sz w:val="24"/>
          <w:szCs w:val="24"/>
          <w:lang w:val="en-US"/>
        </w:rPr>
        <w:t>, Ph.D. Thesis, KU Leuven, Leuven, 2010.</w:t>
      </w:r>
    </w:p>
    <w:p w:rsidR="002536E3" w:rsidRPr="00707E7A" w:rsidRDefault="002536E3" w:rsidP="00AE5C10">
      <w:pPr>
        <w:spacing w:after="0" w:line="240" w:lineRule="auto"/>
        <w:jc w:val="both"/>
        <w:rPr>
          <w:rFonts w:ascii="Times New Roman" w:hAnsi="Times New Roman" w:cs="Times New Roman"/>
          <w:sz w:val="24"/>
          <w:szCs w:val="24"/>
          <w:lang w:val="en-US"/>
        </w:rPr>
      </w:pPr>
    </w:p>
    <w:p w:rsidR="00C6187F" w:rsidRDefault="00C6187F" w:rsidP="00AE5C1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Londers E, Berbers Y, </w:t>
      </w:r>
      <w:proofErr w:type="spellStart"/>
      <w:r>
        <w:rPr>
          <w:rFonts w:ascii="Times New Roman" w:hAnsi="Times New Roman" w:cs="Times New Roman"/>
          <w:sz w:val="24"/>
          <w:szCs w:val="24"/>
          <w:lang w:val="en-US"/>
        </w:rPr>
        <w:t>Buyse</w:t>
      </w:r>
      <w:proofErr w:type="spellEnd"/>
      <w:r>
        <w:rPr>
          <w:rFonts w:ascii="Times New Roman" w:hAnsi="Times New Roman" w:cs="Times New Roman"/>
          <w:sz w:val="24"/>
          <w:szCs w:val="24"/>
          <w:lang w:val="en-US"/>
        </w:rPr>
        <w:t xml:space="preserve"> M, De </w:t>
      </w:r>
      <w:proofErr w:type="spellStart"/>
      <w:r>
        <w:rPr>
          <w:rFonts w:ascii="Times New Roman" w:hAnsi="Times New Roman" w:cs="Times New Roman"/>
          <w:sz w:val="24"/>
          <w:szCs w:val="24"/>
          <w:lang w:val="en-US"/>
        </w:rPr>
        <w:t>Proft</w:t>
      </w:r>
      <w:proofErr w:type="spellEnd"/>
      <w:r>
        <w:rPr>
          <w:rFonts w:ascii="Times New Roman" w:hAnsi="Times New Roman" w:cs="Times New Roman"/>
          <w:sz w:val="24"/>
          <w:szCs w:val="24"/>
          <w:lang w:val="en-US"/>
        </w:rPr>
        <w:t xml:space="preserve"> M, Froyen L, </w:t>
      </w:r>
      <w:r>
        <w:rPr>
          <w:rFonts w:ascii="Times New Roman" w:hAnsi="Times New Roman" w:cs="Times New Roman"/>
          <w:b/>
          <w:sz w:val="24"/>
          <w:szCs w:val="24"/>
          <w:lang w:val="en-US"/>
        </w:rPr>
        <w:t>ACQA: an instrument for accreditation and quality assurance in engineering curricula?</w:t>
      </w:r>
      <w:r>
        <w:rPr>
          <w:rFonts w:ascii="Times New Roman" w:hAnsi="Times New Roman" w:cs="Times New Roman"/>
          <w:sz w:val="24"/>
          <w:szCs w:val="24"/>
          <w:lang w:val="en-US"/>
        </w:rPr>
        <w:t xml:space="preserve">, Proceedings of the SEFI Annual Conference, </w:t>
      </w:r>
      <w:proofErr w:type="spellStart"/>
      <w:r>
        <w:rPr>
          <w:rFonts w:ascii="Times New Roman" w:hAnsi="Times New Roman" w:cs="Times New Roman"/>
          <w:sz w:val="24"/>
          <w:szCs w:val="24"/>
          <w:lang w:val="en-US"/>
        </w:rPr>
        <w:t>Lissabon</w:t>
      </w:r>
      <w:proofErr w:type="spellEnd"/>
      <w:r>
        <w:rPr>
          <w:rFonts w:ascii="Times New Roman" w:hAnsi="Times New Roman" w:cs="Times New Roman"/>
          <w:sz w:val="24"/>
          <w:szCs w:val="24"/>
          <w:lang w:val="en-US"/>
        </w:rPr>
        <w:t>, 2011.</w:t>
      </w:r>
    </w:p>
    <w:p w:rsidR="002536E3" w:rsidRPr="00C6187F" w:rsidRDefault="002536E3" w:rsidP="00AE5C10">
      <w:pPr>
        <w:spacing w:after="0" w:line="240" w:lineRule="auto"/>
        <w:jc w:val="both"/>
        <w:rPr>
          <w:rFonts w:ascii="Times New Roman" w:hAnsi="Times New Roman" w:cs="Times New Roman"/>
          <w:sz w:val="24"/>
          <w:szCs w:val="24"/>
          <w:lang w:val="en-US"/>
        </w:rPr>
      </w:pPr>
    </w:p>
    <w:p w:rsidR="007D1E4A" w:rsidRDefault="00C76223" w:rsidP="00AE5C10">
      <w:pPr>
        <w:spacing w:after="0" w:line="240" w:lineRule="auto"/>
        <w:jc w:val="both"/>
        <w:rPr>
          <w:rFonts w:ascii="Times New Roman" w:hAnsi="Times New Roman" w:cs="Times New Roman"/>
          <w:sz w:val="24"/>
          <w:szCs w:val="24"/>
        </w:rPr>
      </w:pPr>
      <w:r w:rsidRPr="00C768B2">
        <w:rPr>
          <w:rFonts w:ascii="Times New Roman" w:hAnsi="Times New Roman" w:cs="Times New Roman"/>
          <w:sz w:val="24"/>
          <w:szCs w:val="24"/>
        </w:rPr>
        <w:lastRenderedPageBreak/>
        <w:t xml:space="preserve">Meijers A, </w:t>
      </w:r>
      <w:r w:rsidRPr="00C76223">
        <w:rPr>
          <w:rFonts w:ascii="Times New Roman" w:hAnsi="Times New Roman" w:cs="Times New Roman"/>
          <w:sz w:val="24"/>
          <w:szCs w:val="24"/>
        </w:rPr>
        <w:t xml:space="preserve">van </w:t>
      </w:r>
      <w:proofErr w:type="spellStart"/>
      <w:r w:rsidRPr="00C76223">
        <w:rPr>
          <w:rFonts w:ascii="Times New Roman" w:hAnsi="Times New Roman" w:cs="Times New Roman"/>
          <w:sz w:val="24"/>
          <w:szCs w:val="24"/>
        </w:rPr>
        <w:t>Overveld</w:t>
      </w:r>
      <w:proofErr w:type="spellEnd"/>
      <w:r w:rsidRPr="00C76223">
        <w:rPr>
          <w:rFonts w:ascii="Times New Roman" w:hAnsi="Times New Roman" w:cs="Times New Roman"/>
          <w:sz w:val="24"/>
          <w:szCs w:val="24"/>
        </w:rPr>
        <w:t xml:space="preserve"> C, </w:t>
      </w:r>
      <w:proofErr w:type="spellStart"/>
      <w:r w:rsidRPr="00C76223">
        <w:rPr>
          <w:rFonts w:ascii="Times New Roman" w:hAnsi="Times New Roman" w:cs="Times New Roman"/>
          <w:sz w:val="24"/>
          <w:szCs w:val="24"/>
        </w:rPr>
        <w:t>Perrenet</w:t>
      </w:r>
      <w:proofErr w:type="spellEnd"/>
      <w:r w:rsidRPr="00C76223">
        <w:rPr>
          <w:rFonts w:ascii="Times New Roman" w:hAnsi="Times New Roman" w:cs="Times New Roman"/>
          <w:sz w:val="24"/>
          <w:szCs w:val="24"/>
        </w:rPr>
        <w:t xml:space="preserve"> J, </w:t>
      </w:r>
      <w:r w:rsidRPr="00C76223">
        <w:rPr>
          <w:rFonts w:ascii="Times New Roman" w:hAnsi="Times New Roman" w:cs="Times New Roman"/>
          <w:b/>
          <w:sz w:val="24"/>
          <w:szCs w:val="24"/>
        </w:rPr>
        <w:t xml:space="preserve">Criteria </w:t>
      </w:r>
      <w:proofErr w:type="spellStart"/>
      <w:r w:rsidRPr="00C76223">
        <w:rPr>
          <w:rFonts w:ascii="Times New Roman" w:hAnsi="Times New Roman" w:cs="Times New Roman"/>
          <w:b/>
          <w:sz w:val="24"/>
          <w:szCs w:val="24"/>
        </w:rPr>
        <w:t>for</w:t>
      </w:r>
      <w:proofErr w:type="spellEnd"/>
      <w:r w:rsidRPr="00C76223">
        <w:rPr>
          <w:rFonts w:ascii="Times New Roman" w:hAnsi="Times New Roman" w:cs="Times New Roman"/>
          <w:b/>
          <w:sz w:val="24"/>
          <w:szCs w:val="24"/>
        </w:rPr>
        <w:t xml:space="preserve"> </w:t>
      </w:r>
      <w:proofErr w:type="spellStart"/>
      <w:r w:rsidRPr="00C76223">
        <w:rPr>
          <w:rFonts w:ascii="Times New Roman" w:hAnsi="Times New Roman" w:cs="Times New Roman"/>
          <w:b/>
          <w:sz w:val="24"/>
          <w:szCs w:val="24"/>
        </w:rPr>
        <w:t>Academic</w:t>
      </w:r>
      <w:proofErr w:type="spellEnd"/>
      <w:r w:rsidRPr="00C76223">
        <w:rPr>
          <w:rFonts w:ascii="Times New Roman" w:hAnsi="Times New Roman" w:cs="Times New Roman"/>
          <w:b/>
          <w:sz w:val="24"/>
          <w:szCs w:val="24"/>
        </w:rPr>
        <w:t xml:space="preserve"> Bachelor </w:t>
      </w:r>
      <w:proofErr w:type="spellStart"/>
      <w:r w:rsidRPr="00C76223">
        <w:rPr>
          <w:rFonts w:ascii="Times New Roman" w:hAnsi="Times New Roman" w:cs="Times New Roman"/>
          <w:b/>
          <w:sz w:val="24"/>
          <w:szCs w:val="24"/>
        </w:rPr>
        <w:t>and</w:t>
      </w:r>
      <w:proofErr w:type="spellEnd"/>
      <w:r w:rsidRPr="00C76223">
        <w:rPr>
          <w:rFonts w:ascii="Times New Roman" w:hAnsi="Times New Roman" w:cs="Times New Roman"/>
          <w:b/>
          <w:sz w:val="24"/>
          <w:szCs w:val="24"/>
        </w:rPr>
        <w:t xml:space="preserve"> Master Curricula</w:t>
      </w:r>
      <w:r w:rsidRPr="00C76223">
        <w:rPr>
          <w:rFonts w:ascii="Times New Roman" w:hAnsi="Times New Roman" w:cs="Times New Roman"/>
          <w:sz w:val="24"/>
          <w:szCs w:val="24"/>
        </w:rPr>
        <w:t xml:space="preserve">, Technische Universiteit Eindhoven, Eindhoven, </w:t>
      </w:r>
      <w:r w:rsidR="00B617CC">
        <w:rPr>
          <w:rFonts w:ascii="Times New Roman" w:hAnsi="Times New Roman" w:cs="Times New Roman"/>
          <w:sz w:val="24"/>
          <w:szCs w:val="24"/>
        </w:rPr>
        <w:t>2005.</w:t>
      </w:r>
    </w:p>
    <w:p w:rsidR="002536E3" w:rsidRDefault="002536E3" w:rsidP="00AE5C10">
      <w:pPr>
        <w:spacing w:after="0" w:line="240" w:lineRule="auto"/>
        <w:jc w:val="both"/>
        <w:rPr>
          <w:rFonts w:ascii="Times New Roman" w:hAnsi="Times New Roman" w:cs="Times New Roman"/>
          <w:sz w:val="24"/>
          <w:szCs w:val="24"/>
        </w:rPr>
      </w:pPr>
    </w:p>
    <w:p w:rsidR="008B75AA" w:rsidRDefault="008B75AA" w:rsidP="00AE5C10">
      <w:pPr>
        <w:spacing w:after="0" w:line="240" w:lineRule="auto"/>
        <w:jc w:val="both"/>
        <w:rPr>
          <w:rFonts w:ascii="Times New Roman" w:hAnsi="Times New Roman" w:cs="Times New Roman"/>
          <w:sz w:val="24"/>
          <w:szCs w:val="24"/>
          <w:lang w:val="en-US"/>
        </w:rPr>
      </w:pPr>
      <w:proofErr w:type="spellStart"/>
      <w:r w:rsidRPr="003D1FD1">
        <w:rPr>
          <w:rFonts w:ascii="Times New Roman" w:hAnsi="Times New Roman" w:cs="Times New Roman"/>
          <w:sz w:val="24"/>
          <w:szCs w:val="24"/>
          <w:lang w:val="en-US"/>
        </w:rPr>
        <w:t>Meijers</w:t>
      </w:r>
      <w:proofErr w:type="spellEnd"/>
      <w:r w:rsidRPr="003D1FD1">
        <w:rPr>
          <w:rFonts w:ascii="Times New Roman" w:hAnsi="Times New Roman" w:cs="Times New Roman"/>
          <w:sz w:val="24"/>
          <w:szCs w:val="24"/>
          <w:lang w:val="en-US"/>
        </w:rPr>
        <w:t xml:space="preserve"> A, </w:t>
      </w:r>
      <w:r w:rsidR="003D1FD1" w:rsidRPr="003D1FD1">
        <w:rPr>
          <w:rFonts w:ascii="Times New Roman" w:hAnsi="Times New Roman" w:cs="Times New Roman"/>
          <w:b/>
          <w:sz w:val="24"/>
          <w:szCs w:val="24"/>
          <w:lang w:val="en-US"/>
        </w:rPr>
        <w:t xml:space="preserve">Academic learning outcomes: </w:t>
      </w:r>
      <w:r w:rsidR="003D1FD1">
        <w:rPr>
          <w:rFonts w:ascii="Times New Roman" w:hAnsi="Times New Roman" w:cs="Times New Roman"/>
          <w:b/>
          <w:sz w:val="24"/>
          <w:szCs w:val="24"/>
          <w:lang w:val="en-US"/>
        </w:rPr>
        <w:t>A conceptual and empirical approach</w:t>
      </w:r>
      <w:r w:rsidR="003D1FD1">
        <w:rPr>
          <w:rFonts w:ascii="Times New Roman" w:hAnsi="Times New Roman" w:cs="Times New Roman"/>
          <w:sz w:val="24"/>
          <w:szCs w:val="24"/>
          <w:lang w:val="en-US"/>
        </w:rPr>
        <w:t>, Proceedings of the Accreditation Board for Engineering and Technology (ABET) Annual Conference, Florida, 2006</w:t>
      </w:r>
      <w:r w:rsidR="00C225E4">
        <w:rPr>
          <w:rFonts w:ascii="Times New Roman" w:hAnsi="Times New Roman" w:cs="Times New Roman"/>
          <w:sz w:val="24"/>
          <w:szCs w:val="24"/>
          <w:lang w:val="en-US"/>
        </w:rPr>
        <w:t>.</w:t>
      </w:r>
    </w:p>
    <w:p w:rsidR="002536E3" w:rsidRDefault="002536E3" w:rsidP="00AE5C10">
      <w:pPr>
        <w:spacing w:after="0" w:line="240" w:lineRule="auto"/>
        <w:jc w:val="both"/>
        <w:rPr>
          <w:rFonts w:ascii="Times New Roman" w:hAnsi="Times New Roman" w:cs="Times New Roman"/>
          <w:sz w:val="24"/>
          <w:szCs w:val="24"/>
          <w:lang w:val="en-US"/>
        </w:rPr>
      </w:pPr>
    </w:p>
    <w:p w:rsidR="002536E3" w:rsidRPr="002536E3" w:rsidRDefault="002536E3" w:rsidP="00AE5C10">
      <w:pPr>
        <w:spacing w:after="0" w:line="240" w:lineRule="auto"/>
        <w:jc w:val="both"/>
        <w:rPr>
          <w:rFonts w:ascii="Times New Roman" w:hAnsi="Times New Roman" w:cs="Times New Roman"/>
          <w:sz w:val="24"/>
          <w:szCs w:val="24"/>
        </w:rPr>
      </w:pPr>
      <w:proofErr w:type="spellStart"/>
      <w:r w:rsidRPr="002536E3">
        <w:rPr>
          <w:rFonts w:ascii="Times New Roman" w:hAnsi="Times New Roman" w:cs="Times New Roman"/>
          <w:sz w:val="24"/>
          <w:szCs w:val="24"/>
        </w:rPr>
        <w:t>Perennet</w:t>
      </w:r>
      <w:proofErr w:type="spellEnd"/>
      <w:r w:rsidRPr="002536E3">
        <w:rPr>
          <w:rFonts w:ascii="Times New Roman" w:hAnsi="Times New Roman" w:cs="Times New Roman"/>
          <w:sz w:val="24"/>
          <w:szCs w:val="24"/>
        </w:rPr>
        <w:t xml:space="preserve"> J, </w:t>
      </w:r>
      <w:proofErr w:type="spellStart"/>
      <w:r w:rsidRPr="002536E3">
        <w:rPr>
          <w:rFonts w:ascii="Times New Roman" w:hAnsi="Times New Roman" w:cs="Times New Roman"/>
          <w:sz w:val="24"/>
          <w:szCs w:val="24"/>
        </w:rPr>
        <w:t>Borghuis</w:t>
      </w:r>
      <w:proofErr w:type="spellEnd"/>
      <w:r w:rsidRPr="002536E3">
        <w:rPr>
          <w:rFonts w:ascii="Times New Roman" w:hAnsi="Times New Roman" w:cs="Times New Roman"/>
          <w:sz w:val="24"/>
          <w:szCs w:val="24"/>
        </w:rPr>
        <w:t xml:space="preserve"> T, </w:t>
      </w:r>
      <w:proofErr w:type="spellStart"/>
      <w:r w:rsidRPr="002536E3">
        <w:rPr>
          <w:rFonts w:ascii="Times New Roman" w:hAnsi="Times New Roman" w:cs="Times New Roman"/>
          <w:sz w:val="24"/>
          <w:szCs w:val="24"/>
        </w:rPr>
        <w:t>Mejers</w:t>
      </w:r>
      <w:proofErr w:type="spellEnd"/>
      <w:r w:rsidRPr="002536E3">
        <w:rPr>
          <w:rFonts w:ascii="Times New Roman" w:hAnsi="Times New Roman" w:cs="Times New Roman"/>
          <w:sz w:val="24"/>
          <w:szCs w:val="24"/>
        </w:rPr>
        <w:t xml:space="preserve"> A, van </w:t>
      </w:r>
      <w:proofErr w:type="spellStart"/>
      <w:r w:rsidRPr="002536E3">
        <w:rPr>
          <w:rFonts w:ascii="Times New Roman" w:hAnsi="Times New Roman" w:cs="Times New Roman"/>
          <w:sz w:val="24"/>
          <w:szCs w:val="24"/>
        </w:rPr>
        <w:t>Overveld</w:t>
      </w:r>
      <w:proofErr w:type="spellEnd"/>
      <w:r w:rsidRPr="002536E3">
        <w:rPr>
          <w:rFonts w:ascii="Times New Roman" w:hAnsi="Times New Roman" w:cs="Times New Roman"/>
          <w:sz w:val="24"/>
          <w:szCs w:val="24"/>
        </w:rPr>
        <w:t xml:space="preserve"> C, den Brok P, </w:t>
      </w:r>
      <w:r>
        <w:rPr>
          <w:rFonts w:ascii="Times New Roman" w:hAnsi="Times New Roman" w:cs="Times New Roman"/>
          <w:b/>
          <w:sz w:val="24"/>
          <w:szCs w:val="24"/>
        </w:rPr>
        <w:t xml:space="preserve">Het academisch profiel van universitaire opleidingen: de kwaliteit van de ACQA-meting, </w:t>
      </w:r>
      <w:proofErr w:type="spellStart"/>
      <w:r>
        <w:rPr>
          <w:rFonts w:ascii="Times New Roman" w:hAnsi="Times New Roman" w:cs="Times New Roman"/>
          <w:sz w:val="24"/>
          <w:szCs w:val="24"/>
        </w:rPr>
        <w:t>Proceedings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OnderwijsResearchDagen</w:t>
      </w:r>
      <w:proofErr w:type="spellEnd"/>
      <w:r>
        <w:rPr>
          <w:rFonts w:ascii="Times New Roman" w:hAnsi="Times New Roman" w:cs="Times New Roman"/>
          <w:sz w:val="24"/>
          <w:szCs w:val="24"/>
        </w:rPr>
        <w:t>, Maastricht, 2011.</w:t>
      </w:r>
    </w:p>
    <w:p w:rsidR="00882202" w:rsidRPr="002536E3" w:rsidRDefault="00882202" w:rsidP="00882202">
      <w:pPr>
        <w:spacing w:line="240" w:lineRule="auto"/>
        <w:rPr>
          <w:rFonts w:ascii="Times New Roman" w:hAnsi="Times New Roman" w:cs="Times New Roman"/>
          <w:b/>
          <w:sz w:val="28"/>
          <w:szCs w:val="28"/>
        </w:rPr>
      </w:pPr>
    </w:p>
    <w:sectPr w:rsidR="00882202" w:rsidRPr="002536E3" w:rsidSect="00410F94">
      <w:footerReference w:type="default" r:id="rId14"/>
      <w:pgSz w:w="11906" w:h="16838" w:code="9"/>
      <w:pgMar w:top="1418" w:right="1134" w:bottom="1418" w:left="2268" w:header="709"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1A" w:rsidRDefault="005A171A" w:rsidP="00410F94">
      <w:pPr>
        <w:spacing w:after="0" w:line="240" w:lineRule="auto"/>
      </w:pPr>
      <w:r>
        <w:separator/>
      </w:r>
    </w:p>
  </w:endnote>
  <w:endnote w:type="continuationSeparator" w:id="0">
    <w:p w:rsidR="005A171A" w:rsidRDefault="005A171A" w:rsidP="0041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263651"/>
      <w:docPartObj>
        <w:docPartGallery w:val="Page Numbers (Bottom of Page)"/>
        <w:docPartUnique/>
      </w:docPartObj>
    </w:sdtPr>
    <w:sdtEndPr>
      <w:rPr>
        <w:noProof/>
      </w:rPr>
    </w:sdtEndPr>
    <w:sdtContent>
      <w:p w:rsidR="00410F94" w:rsidRDefault="00410F94">
        <w:pPr>
          <w:pStyle w:val="Footer"/>
          <w:jc w:val="center"/>
        </w:pPr>
        <w:r>
          <w:fldChar w:fldCharType="begin"/>
        </w:r>
        <w:r>
          <w:instrText xml:space="preserve"> PAGE   \* MERGEFORMAT </w:instrText>
        </w:r>
        <w:r>
          <w:fldChar w:fldCharType="separate"/>
        </w:r>
        <w:r w:rsidR="001F6484">
          <w:rPr>
            <w:noProof/>
          </w:rPr>
          <w:t>2</w:t>
        </w:r>
        <w:r>
          <w:rPr>
            <w:noProof/>
          </w:rPr>
          <w:fldChar w:fldCharType="end"/>
        </w:r>
      </w:p>
    </w:sdtContent>
  </w:sdt>
  <w:p w:rsidR="00410F94" w:rsidRDefault="00410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1A" w:rsidRDefault="005A171A" w:rsidP="00410F94">
      <w:pPr>
        <w:spacing w:after="0" w:line="240" w:lineRule="auto"/>
      </w:pPr>
      <w:r>
        <w:separator/>
      </w:r>
    </w:p>
  </w:footnote>
  <w:footnote w:type="continuationSeparator" w:id="0">
    <w:p w:rsidR="005A171A" w:rsidRDefault="005A171A" w:rsidP="00410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165"/>
    <w:multiLevelType w:val="hybridMultilevel"/>
    <w:tmpl w:val="987E93C8"/>
    <w:lvl w:ilvl="0" w:tplc="FD762EBA">
      <w:start w:val="1"/>
      <w:numFmt w:val="bullet"/>
      <w:lvlText w:val=""/>
      <w:lvlJc w:val="left"/>
      <w:pPr>
        <w:ind w:left="720" w:hanging="360"/>
      </w:pPr>
      <w:rPr>
        <w:rFonts w:ascii="Wingdings" w:hAnsi="Wingdings" w:hint="default"/>
        <w:color w:val="00206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66A7675"/>
    <w:multiLevelType w:val="hybridMultilevel"/>
    <w:tmpl w:val="EE1A11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9D5361B"/>
    <w:multiLevelType w:val="hybridMultilevel"/>
    <w:tmpl w:val="7D9E91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DF72E56"/>
    <w:multiLevelType w:val="hybridMultilevel"/>
    <w:tmpl w:val="241248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31"/>
    <w:rsid w:val="000042E1"/>
    <w:rsid w:val="00022498"/>
    <w:rsid w:val="0002702F"/>
    <w:rsid w:val="000361DE"/>
    <w:rsid w:val="00044DFF"/>
    <w:rsid w:val="00047AF3"/>
    <w:rsid w:val="00065D67"/>
    <w:rsid w:val="00094655"/>
    <w:rsid w:val="000A607A"/>
    <w:rsid w:val="000B3B7F"/>
    <w:rsid w:val="000C417B"/>
    <w:rsid w:val="000E4E42"/>
    <w:rsid w:val="000F1031"/>
    <w:rsid w:val="000F5A2F"/>
    <w:rsid w:val="001329A7"/>
    <w:rsid w:val="00134AD6"/>
    <w:rsid w:val="001447F6"/>
    <w:rsid w:val="00170E23"/>
    <w:rsid w:val="001A1710"/>
    <w:rsid w:val="001B5998"/>
    <w:rsid w:val="001C4D78"/>
    <w:rsid w:val="001C7E1B"/>
    <w:rsid w:val="001C7F87"/>
    <w:rsid w:val="001F6484"/>
    <w:rsid w:val="0025366B"/>
    <w:rsid w:val="002536E3"/>
    <w:rsid w:val="002A4209"/>
    <w:rsid w:val="002B16C2"/>
    <w:rsid w:val="002D168F"/>
    <w:rsid w:val="00394B0D"/>
    <w:rsid w:val="003B39E2"/>
    <w:rsid w:val="003B65C2"/>
    <w:rsid w:val="003C3B27"/>
    <w:rsid w:val="003D0F3E"/>
    <w:rsid w:val="003D1FD1"/>
    <w:rsid w:val="00410F94"/>
    <w:rsid w:val="0041289A"/>
    <w:rsid w:val="00420934"/>
    <w:rsid w:val="004511C7"/>
    <w:rsid w:val="004547D4"/>
    <w:rsid w:val="00472D54"/>
    <w:rsid w:val="00482744"/>
    <w:rsid w:val="004837EE"/>
    <w:rsid w:val="00485347"/>
    <w:rsid w:val="004A335E"/>
    <w:rsid w:val="004B579A"/>
    <w:rsid w:val="004B6F89"/>
    <w:rsid w:val="004D0670"/>
    <w:rsid w:val="004D582B"/>
    <w:rsid w:val="004F0AFA"/>
    <w:rsid w:val="004F7562"/>
    <w:rsid w:val="0051136B"/>
    <w:rsid w:val="0051190C"/>
    <w:rsid w:val="0052247D"/>
    <w:rsid w:val="005A171A"/>
    <w:rsid w:val="005F6FFB"/>
    <w:rsid w:val="006069E9"/>
    <w:rsid w:val="00614418"/>
    <w:rsid w:val="00671C57"/>
    <w:rsid w:val="006F2DAC"/>
    <w:rsid w:val="00707E7A"/>
    <w:rsid w:val="0074058E"/>
    <w:rsid w:val="007554E5"/>
    <w:rsid w:val="00771E59"/>
    <w:rsid w:val="0078094E"/>
    <w:rsid w:val="00783724"/>
    <w:rsid w:val="007B470B"/>
    <w:rsid w:val="007B617D"/>
    <w:rsid w:val="007C52A5"/>
    <w:rsid w:val="007D1E4A"/>
    <w:rsid w:val="007D29F6"/>
    <w:rsid w:val="007D69B7"/>
    <w:rsid w:val="007D7B1F"/>
    <w:rsid w:val="007F2C9E"/>
    <w:rsid w:val="008043A7"/>
    <w:rsid w:val="0083189A"/>
    <w:rsid w:val="00842CF9"/>
    <w:rsid w:val="00882202"/>
    <w:rsid w:val="00893F73"/>
    <w:rsid w:val="00895472"/>
    <w:rsid w:val="008B75AA"/>
    <w:rsid w:val="008C32DC"/>
    <w:rsid w:val="008E5274"/>
    <w:rsid w:val="008F3D23"/>
    <w:rsid w:val="008F4DAD"/>
    <w:rsid w:val="0091323F"/>
    <w:rsid w:val="009240F1"/>
    <w:rsid w:val="00926D74"/>
    <w:rsid w:val="00927023"/>
    <w:rsid w:val="00933298"/>
    <w:rsid w:val="009516A4"/>
    <w:rsid w:val="009561ED"/>
    <w:rsid w:val="00967A97"/>
    <w:rsid w:val="009733DC"/>
    <w:rsid w:val="00975ACA"/>
    <w:rsid w:val="00985B2D"/>
    <w:rsid w:val="009876BE"/>
    <w:rsid w:val="009A36C6"/>
    <w:rsid w:val="009B6E1D"/>
    <w:rsid w:val="009C5C73"/>
    <w:rsid w:val="009E25E3"/>
    <w:rsid w:val="00A865AF"/>
    <w:rsid w:val="00AB3200"/>
    <w:rsid w:val="00AB6D32"/>
    <w:rsid w:val="00AD0DBA"/>
    <w:rsid w:val="00AE5C10"/>
    <w:rsid w:val="00B26FEB"/>
    <w:rsid w:val="00B617CC"/>
    <w:rsid w:val="00B674FF"/>
    <w:rsid w:val="00B81339"/>
    <w:rsid w:val="00B9390D"/>
    <w:rsid w:val="00BA0DBC"/>
    <w:rsid w:val="00BA40FA"/>
    <w:rsid w:val="00BC24AD"/>
    <w:rsid w:val="00BD0550"/>
    <w:rsid w:val="00BD0A1D"/>
    <w:rsid w:val="00BE531F"/>
    <w:rsid w:val="00C00AC4"/>
    <w:rsid w:val="00C126B1"/>
    <w:rsid w:val="00C15B5A"/>
    <w:rsid w:val="00C225E4"/>
    <w:rsid w:val="00C400BA"/>
    <w:rsid w:val="00C44057"/>
    <w:rsid w:val="00C6187F"/>
    <w:rsid w:val="00C74511"/>
    <w:rsid w:val="00C76223"/>
    <w:rsid w:val="00C768B2"/>
    <w:rsid w:val="00C80506"/>
    <w:rsid w:val="00C90287"/>
    <w:rsid w:val="00CA4159"/>
    <w:rsid w:val="00CA7AB9"/>
    <w:rsid w:val="00CC76B3"/>
    <w:rsid w:val="00CD3F16"/>
    <w:rsid w:val="00D34647"/>
    <w:rsid w:val="00D6541F"/>
    <w:rsid w:val="00D71B5A"/>
    <w:rsid w:val="00D76731"/>
    <w:rsid w:val="00DB1BA2"/>
    <w:rsid w:val="00DE7A47"/>
    <w:rsid w:val="00DF48EB"/>
    <w:rsid w:val="00E37568"/>
    <w:rsid w:val="00E81551"/>
    <w:rsid w:val="00E97427"/>
    <w:rsid w:val="00EC742F"/>
    <w:rsid w:val="00F02D1D"/>
    <w:rsid w:val="00F1554E"/>
    <w:rsid w:val="00F338E0"/>
    <w:rsid w:val="00F617C4"/>
    <w:rsid w:val="00F648E0"/>
    <w:rsid w:val="00FA7DCA"/>
    <w:rsid w:val="00FB53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F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F94"/>
  </w:style>
  <w:style w:type="paragraph" w:styleId="Footer">
    <w:name w:val="footer"/>
    <w:basedOn w:val="Normal"/>
    <w:link w:val="FooterChar"/>
    <w:uiPriority w:val="99"/>
    <w:unhideWhenUsed/>
    <w:rsid w:val="00410F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F94"/>
  </w:style>
  <w:style w:type="character" w:styleId="Hyperlink">
    <w:name w:val="Hyperlink"/>
    <w:basedOn w:val="DefaultParagraphFont"/>
    <w:uiPriority w:val="99"/>
    <w:unhideWhenUsed/>
    <w:rsid w:val="007D1E4A"/>
    <w:rPr>
      <w:color w:val="0000FF" w:themeColor="hyperlink"/>
      <w:u w:val="single"/>
    </w:rPr>
  </w:style>
  <w:style w:type="paragraph" w:styleId="ListParagraph">
    <w:name w:val="List Paragraph"/>
    <w:basedOn w:val="Normal"/>
    <w:uiPriority w:val="34"/>
    <w:qFormat/>
    <w:rsid w:val="007D1E4A"/>
    <w:pPr>
      <w:ind w:left="720"/>
      <w:contextualSpacing/>
    </w:pPr>
  </w:style>
  <w:style w:type="paragraph" w:styleId="BalloonText">
    <w:name w:val="Balloon Text"/>
    <w:basedOn w:val="Normal"/>
    <w:link w:val="BalloonTextChar"/>
    <w:uiPriority w:val="99"/>
    <w:semiHidden/>
    <w:unhideWhenUsed/>
    <w:rsid w:val="00975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F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F94"/>
  </w:style>
  <w:style w:type="paragraph" w:styleId="Footer">
    <w:name w:val="footer"/>
    <w:basedOn w:val="Normal"/>
    <w:link w:val="FooterChar"/>
    <w:uiPriority w:val="99"/>
    <w:unhideWhenUsed/>
    <w:rsid w:val="00410F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F94"/>
  </w:style>
  <w:style w:type="character" w:styleId="Hyperlink">
    <w:name w:val="Hyperlink"/>
    <w:basedOn w:val="DefaultParagraphFont"/>
    <w:uiPriority w:val="99"/>
    <w:unhideWhenUsed/>
    <w:rsid w:val="007D1E4A"/>
    <w:rPr>
      <w:color w:val="0000FF" w:themeColor="hyperlink"/>
      <w:u w:val="single"/>
    </w:rPr>
  </w:style>
  <w:style w:type="paragraph" w:styleId="ListParagraph">
    <w:name w:val="List Paragraph"/>
    <w:basedOn w:val="Normal"/>
    <w:uiPriority w:val="34"/>
    <w:qFormat/>
    <w:rsid w:val="007D1E4A"/>
    <w:pPr>
      <w:ind w:left="720"/>
      <w:contextualSpacing/>
    </w:pPr>
  </w:style>
  <w:style w:type="paragraph" w:styleId="BalloonText">
    <w:name w:val="Balloon Text"/>
    <w:basedOn w:val="Normal"/>
    <w:link w:val="BalloonTextChar"/>
    <w:uiPriority w:val="99"/>
    <w:semiHidden/>
    <w:unhideWhenUsed/>
    <w:rsid w:val="00975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lsje.Londers@eng.kuleuven.be"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werkblad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spPr>
            <a:ln>
              <a:solidFill>
                <a:schemeClr val="tx1"/>
              </a:solidFill>
            </a:ln>
          </c:spPr>
          <c:marker>
            <c:symbol val="none"/>
          </c:marker>
          <c:val>
            <c:numRef>
              <c:f>ELEKTROFIG!$C$2:$C$8</c:f>
              <c:numCache>
                <c:formatCode>General</c:formatCode>
                <c:ptCount val="7"/>
                <c:pt idx="0">
                  <c:v>26.024363233665561</c:v>
                </c:pt>
                <c:pt idx="1">
                  <c:v>16.500553709856035</c:v>
                </c:pt>
                <c:pt idx="2">
                  <c:v>24.363233665559246</c:v>
                </c:pt>
                <c:pt idx="3">
                  <c:v>12.956810631229235</c:v>
                </c:pt>
                <c:pt idx="4">
                  <c:v>6.0908084163898115</c:v>
                </c:pt>
                <c:pt idx="5">
                  <c:v>6.9767441860465116</c:v>
                </c:pt>
                <c:pt idx="6">
                  <c:v>7.0874861572536005</c:v>
                </c:pt>
              </c:numCache>
            </c:numRef>
          </c:val>
        </c:ser>
        <c:dLbls>
          <c:showLegendKey val="0"/>
          <c:showVal val="0"/>
          <c:showCatName val="0"/>
          <c:showSerName val="0"/>
          <c:showPercent val="0"/>
          <c:showBubbleSize val="0"/>
        </c:dLbls>
        <c:axId val="38211968"/>
        <c:axId val="38213888"/>
      </c:radarChart>
      <c:catAx>
        <c:axId val="38211968"/>
        <c:scaling>
          <c:orientation val="minMax"/>
        </c:scaling>
        <c:delete val="0"/>
        <c:axPos val="b"/>
        <c:majorGridlines/>
        <c:numFmt formatCode="General" sourceLinked="1"/>
        <c:majorTickMark val="out"/>
        <c:minorTickMark val="none"/>
        <c:tickLblPos val="nextTo"/>
        <c:crossAx val="38213888"/>
        <c:crosses val="autoZero"/>
        <c:auto val="0"/>
        <c:lblAlgn val="ctr"/>
        <c:lblOffset val="100"/>
        <c:noMultiLvlLbl val="0"/>
      </c:catAx>
      <c:valAx>
        <c:axId val="38213888"/>
        <c:scaling>
          <c:orientation val="minMax"/>
        </c:scaling>
        <c:delete val="0"/>
        <c:axPos val="l"/>
        <c:majorGridlines/>
        <c:numFmt formatCode="General" sourceLinked="1"/>
        <c:majorTickMark val="cross"/>
        <c:minorTickMark val="none"/>
        <c:tickLblPos val="nextTo"/>
        <c:crossAx val="3821196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spPr>
            <a:ln>
              <a:solidFill>
                <a:schemeClr val="tx1">
                  <a:lumMod val="50000"/>
                  <a:lumOff val="50000"/>
                </a:schemeClr>
              </a:solidFill>
            </a:ln>
          </c:spPr>
          <c:marker>
            <c:symbol val="none"/>
          </c:marker>
          <c:val>
            <c:numRef>
              <c:f>Sheet1!$D$2:$D$8</c:f>
              <c:numCache>
                <c:formatCode>General</c:formatCode>
                <c:ptCount val="7"/>
                <c:pt idx="0">
                  <c:v>4.25</c:v>
                </c:pt>
                <c:pt idx="1">
                  <c:v>3.75</c:v>
                </c:pt>
                <c:pt idx="2">
                  <c:v>21.5</c:v>
                </c:pt>
                <c:pt idx="3">
                  <c:v>6.9999999999999991</c:v>
                </c:pt>
                <c:pt idx="4">
                  <c:v>17.75</c:v>
                </c:pt>
                <c:pt idx="5">
                  <c:v>32.5</c:v>
                </c:pt>
                <c:pt idx="6">
                  <c:v>13.25</c:v>
                </c:pt>
              </c:numCache>
            </c:numRef>
          </c:val>
        </c:ser>
        <c:ser>
          <c:idx val="1"/>
          <c:order val="1"/>
          <c:spPr>
            <a:ln>
              <a:solidFill>
                <a:prstClr val="black"/>
              </a:solidFill>
            </a:ln>
          </c:spPr>
          <c:marker>
            <c:symbol val="none"/>
          </c:marker>
          <c:val>
            <c:numRef>
              <c:f>Sheet1!$F$2:$F$8</c:f>
              <c:numCache>
                <c:formatCode>General</c:formatCode>
                <c:ptCount val="7"/>
                <c:pt idx="0">
                  <c:v>31.195699731233201</c:v>
                </c:pt>
                <c:pt idx="1">
                  <c:v>6.6441652603287702</c:v>
                </c:pt>
                <c:pt idx="2">
                  <c:v>9.9193699606225394</c:v>
                </c:pt>
                <c:pt idx="3">
                  <c:v>16.851053190824423</c:v>
                </c:pt>
                <c:pt idx="4">
                  <c:v>24.43902743921495</c:v>
                </c:pt>
                <c:pt idx="5">
                  <c:v>3.9252453278329886</c:v>
                </c:pt>
                <c:pt idx="6">
                  <c:v>7.0254390899431209</c:v>
                </c:pt>
              </c:numCache>
            </c:numRef>
          </c:val>
        </c:ser>
        <c:dLbls>
          <c:showLegendKey val="0"/>
          <c:showVal val="0"/>
          <c:showCatName val="0"/>
          <c:showSerName val="0"/>
          <c:showPercent val="0"/>
          <c:showBubbleSize val="0"/>
        </c:dLbls>
        <c:axId val="40573952"/>
        <c:axId val="87689088"/>
      </c:radarChart>
      <c:catAx>
        <c:axId val="40573952"/>
        <c:scaling>
          <c:orientation val="minMax"/>
        </c:scaling>
        <c:delete val="0"/>
        <c:axPos val="b"/>
        <c:majorGridlines/>
        <c:numFmt formatCode="General" sourceLinked="1"/>
        <c:majorTickMark val="out"/>
        <c:minorTickMark val="none"/>
        <c:tickLblPos val="nextTo"/>
        <c:crossAx val="87689088"/>
        <c:crosses val="autoZero"/>
        <c:auto val="0"/>
        <c:lblAlgn val="ctr"/>
        <c:lblOffset val="100"/>
        <c:noMultiLvlLbl val="0"/>
      </c:catAx>
      <c:valAx>
        <c:axId val="87689088"/>
        <c:scaling>
          <c:orientation val="minMax"/>
        </c:scaling>
        <c:delete val="0"/>
        <c:axPos val="l"/>
        <c:majorGridlines/>
        <c:numFmt formatCode="General" sourceLinked="1"/>
        <c:majorTickMark val="cross"/>
        <c:minorTickMark val="none"/>
        <c:tickLblPos val="nextTo"/>
        <c:crossAx val="4057395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spPr>
            <a:ln>
              <a:solidFill>
                <a:schemeClr val="tx1"/>
              </a:solidFill>
            </a:ln>
          </c:spPr>
          <c:marker>
            <c:symbol val="none"/>
          </c:marker>
          <c:val>
            <c:numRef>
              <c:f>ELEKTROFIG!$C$2:$C$8</c:f>
              <c:numCache>
                <c:formatCode>General</c:formatCode>
                <c:ptCount val="7"/>
                <c:pt idx="0">
                  <c:v>26.024363233665561</c:v>
                </c:pt>
                <c:pt idx="1">
                  <c:v>16.500553709856035</c:v>
                </c:pt>
                <c:pt idx="2">
                  <c:v>24.363233665559246</c:v>
                </c:pt>
                <c:pt idx="3">
                  <c:v>12.956810631229235</c:v>
                </c:pt>
                <c:pt idx="4">
                  <c:v>6.0908084163898115</c:v>
                </c:pt>
                <c:pt idx="5">
                  <c:v>6.9767441860465116</c:v>
                </c:pt>
                <c:pt idx="6">
                  <c:v>7.0874861572536005</c:v>
                </c:pt>
              </c:numCache>
            </c:numRef>
          </c:val>
        </c:ser>
        <c:ser>
          <c:idx val="1"/>
          <c:order val="1"/>
          <c:spPr>
            <a:ln>
              <a:solidFill>
                <a:schemeClr val="tx1">
                  <a:lumMod val="50000"/>
                  <a:lumOff val="50000"/>
                </a:schemeClr>
              </a:solidFill>
            </a:ln>
          </c:spPr>
          <c:marker>
            <c:symbol val="none"/>
          </c:marker>
          <c:val>
            <c:numRef>
              <c:f>ELEKTROFIG!$H$2:$H$8</c:f>
              <c:numCache>
                <c:formatCode>General</c:formatCode>
                <c:ptCount val="7"/>
                <c:pt idx="0">
                  <c:v>25</c:v>
                </c:pt>
                <c:pt idx="1">
                  <c:v>15</c:v>
                </c:pt>
                <c:pt idx="2">
                  <c:v>15</c:v>
                </c:pt>
                <c:pt idx="3">
                  <c:v>20</c:v>
                </c:pt>
                <c:pt idx="4">
                  <c:v>10</c:v>
                </c:pt>
                <c:pt idx="5">
                  <c:v>10</c:v>
                </c:pt>
                <c:pt idx="6">
                  <c:v>5</c:v>
                </c:pt>
              </c:numCache>
            </c:numRef>
          </c:val>
        </c:ser>
        <c:dLbls>
          <c:showLegendKey val="0"/>
          <c:showVal val="0"/>
          <c:showCatName val="0"/>
          <c:showSerName val="0"/>
          <c:showPercent val="0"/>
          <c:showBubbleSize val="0"/>
        </c:dLbls>
        <c:axId val="39883136"/>
        <c:axId val="39884672"/>
      </c:radarChart>
      <c:catAx>
        <c:axId val="39883136"/>
        <c:scaling>
          <c:orientation val="minMax"/>
        </c:scaling>
        <c:delete val="0"/>
        <c:axPos val="b"/>
        <c:majorGridlines/>
        <c:numFmt formatCode="General" sourceLinked="1"/>
        <c:majorTickMark val="out"/>
        <c:minorTickMark val="none"/>
        <c:tickLblPos val="nextTo"/>
        <c:crossAx val="39884672"/>
        <c:crosses val="autoZero"/>
        <c:auto val="0"/>
        <c:lblAlgn val="ctr"/>
        <c:lblOffset val="100"/>
        <c:noMultiLvlLbl val="0"/>
      </c:catAx>
      <c:valAx>
        <c:axId val="39884672"/>
        <c:scaling>
          <c:orientation val="minMax"/>
        </c:scaling>
        <c:delete val="0"/>
        <c:axPos val="l"/>
        <c:majorGridlines/>
        <c:numFmt formatCode="General" sourceLinked="1"/>
        <c:majorTickMark val="cross"/>
        <c:minorTickMark val="none"/>
        <c:tickLblPos val="nextTo"/>
        <c:crossAx val="3988313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D8BA-CEF7-4C18-B1E7-749E9BD9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2010</Words>
  <Characters>11057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Elsje Londers</dc:creator>
  <cp:lastModifiedBy>Elsje Londers</cp:lastModifiedBy>
  <cp:revision>3</cp:revision>
  <cp:lastPrinted>2012-07-20T13:51:00Z</cp:lastPrinted>
  <dcterms:created xsi:type="dcterms:W3CDTF">2012-07-27T19:31:00Z</dcterms:created>
  <dcterms:modified xsi:type="dcterms:W3CDTF">2012-07-27T19:34:00Z</dcterms:modified>
</cp:coreProperties>
</file>